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B1D5C">
      <w:pPr>
        <w:jc w:val="both"/>
        <w:rPr>
          <w:rFonts w:hint="eastAsia" w:eastAsiaTheme="minorEastAsia"/>
          <w:lang w:eastAsia="zh-CN"/>
        </w:rPr>
      </w:pPr>
      <w:r>
        <w:rPr>
          <w:rFonts w:hint="eastAsia"/>
          <w:lang w:val="en-US" w:eastAsia="zh-CN"/>
        </w:rPr>
        <w:t>1、</w:t>
      </w:r>
      <w:r>
        <w:rPr>
          <w:rFonts w:hint="eastAsia"/>
          <w:lang w:eastAsia="zh-CN"/>
        </w:rPr>
        <w:t>采购需求</w:t>
      </w:r>
    </w:p>
    <w:tbl>
      <w:tblPr>
        <w:tblStyle w:val="13"/>
        <w:tblW w:w="836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09"/>
        <w:gridCol w:w="587"/>
        <w:gridCol w:w="7067"/>
      </w:tblGrid>
      <w:tr w14:paraId="68A9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709" w:type="dxa"/>
            <w:vAlign w:val="center"/>
          </w:tcPr>
          <w:p w14:paraId="567E6063">
            <w:pPr>
              <w:spacing w:line="396" w:lineRule="auto"/>
              <w:rPr>
                <w:rFonts w:ascii="仿宋" w:hAnsi="仿宋" w:eastAsia="仿宋"/>
                <w:bCs/>
              </w:rPr>
            </w:pPr>
            <w:r>
              <w:rPr>
                <w:rFonts w:ascii="仿宋" w:hAnsi="仿宋" w:eastAsia="仿宋"/>
                <w:bCs/>
              </w:rPr>
              <w:t>1</w:t>
            </w:r>
            <w:r>
              <w:rPr>
                <w:rFonts w:hint="eastAsia" w:ascii="仿宋" w:hAnsi="仿宋" w:eastAsia="仿宋"/>
                <w:bCs/>
              </w:rPr>
              <w:t>、无地域限制</w:t>
            </w:r>
          </w:p>
        </w:tc>
        <w:tc>
          <w:tcPr>
            <w:tcW w:w="7654" w:type="dxa"/>
            <w:gridSpan w:val="2"/>
            <w:shd w:val="clear" w:color="auto" w:fill="auto"/>
            <w:vAlign w:val="center"/>
          </w:tcPr>
          <w:p w14:paraId="68B7A7B3">
            <w:pPr>
              <w:spacing w:line="396" w:lineRule="auto"/>
              <w:rPr>
                <w:rFonts w:ascii="仿宋" w:hAnsi="仿宋" w:eastAsia="仿宋"/>
                <w:bCs/>
              </w:rPr>
            </w:pPr>
            <w:r>
              <w:rPr>
                <w:rFonts w:hint="eastAsia" w:ascii="仿宋" w:hAnsi="仿宋" w:eastAsia="仿宋"/>
                <w:bCs/>
              </w:rPr>
              <w:t>整体平台集成于同一系统，用户数据统一，同一地址，不需单独登录、不得内置任何隐性收费模块与个人充值引导链接。</w:t>
            </w:r>
          </w:p>
        </w:tc>
      </w:tr>
      <w:tr w14:paraId="44CF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709" w:type="dxa"/>
            <w:vAlign w:val="center"/>
          </w:tcPr>
          <w:p w14:paraId="48BE5638">
            <w:pPr>
              <w:spacing w:line="396" w:lineRule="auto"/>
              <w:rPr>
                <w:rFonts w:ascii="仿宋" w:hAnsi="仿宋" w:eastAsia="仿宋"/>
                <w:bCs/>
              </w:rPr>
            </w:pPr>
            <w:r>
              <w:rPr>
                <w:rFonts w:hint="eastAsia" w:ascii="仿宋" w:hAnsi="仿宋" w:eastAsia="仿宋"/>
                <w:bCs/>
              </w:rPr>
              <w:t>2、使用效果</w:t>
            </w:r>
          </w:p>
        </w:tc>
        <w:tc>
          <w:tcPr>
            <w:tcW w:w="7654" w:type="dxa"/>
            <w:gridSpan w:val="2"/>
            <w:shd w:val="clear" w:color="auto" w:fill="auto"/>
            <w:vAlign w:val="center"/>
          </w:tcPr>
          <w:p w14:paraId="48FE7836">
            <w:pPr>
              <w:spacing w:line="396" w:lineRule="auto"/>
              <w:rPr>
                <w:rFonts w:ascii="仿宋" w:hAnsi="仿宋" w:eastAsia="仿宋"/>
                <w:bCs/>
              </w:rPr>
            </w:pPr>
            <w:r>
              <w:rPr>
                <w:rFonts w:hint="eastAsia" w:ascii="仿宋" w:hAnsi="仿宋" w:eastAsia="仿宋"/>
                <w:bCs/>
              </w:rPr>
              <w:t>既可以通过电脑终端进行学习或考试，也可以使用手机、I</w:t>
            </w:r>
            <w:r>
              <w:rPr>
                <w:rFonts w:ascii="仿宋" w:hAnsi="仿宋" w:eastAsia="仿宋"/>
                <w:bCs/>
              </w:rPr>
              <w:t>PAD</w:t>
            </w:r>
            <w:r>
              <w:rPr>
                <w:rFonts w:hint="eastAsia" w:ascii="仿宋" w:hAnsi="仿宋" w:eastAsia="仿宋"/>
                <w:bCs/>
              </w:rPr>
              <w:t>、P</w:t>
            </w:r>
            <w:r>
              <w:rPr>
                <w:rFonts w:ascii="仿宋" w:hAnsi="仿宋" w:eastAsia="仿宋"/>
                <w:bCs/>
              </w:rPr>
              <w:t>AD</w:t>
            </w:r>
            <w:r>
              <w:rPr>
                <w:rFonts w:hint="eastAsia" w:ascii="仿宋" w:hAnsi="仿宋" w:eastAsia="仿宋"/>
                <w:bCs/>
              </w:rPr>
              <w:t>；</w:t>
            </w:r>
          </w:p>
          <w:p w14:paraId="65568F99">
            <w:pPr>
              <w:spacing w:line="396" w:lineRule="auto"/>
              <w:rPr>
                <w:rFonts w:ascii="仿宋" w:hAnsi="仿宋" w:eastAsia="仿宋"/>
                <w:bCs/>
              </w:rPr>
            </w:pPr>
            <w:r>
              <w:rPr>
                <w:rFonts w:hint="eastAsia" w:ascii="仿宋" w:hAnsi="仿宋" w:eastAsia="仿宋"/>
                <w:bCs/>
                <w:lang w:eastAsia="zh-CN"/>
              </w:rPr>
              <w:t>可通过</w:t>
            </w:r>
            <w:r>
              <w:rPr>
                <w:rFonts w:hint="eastAsia" w:ascii="仿宋" w:hAnsi="仿宋" w:eastAsia="仿宋"/>
                <w:bCs/>
              </w:rPr>
              <w:t>微信公众号进行学练考及护理宣教；</w:t>
            </w:r>
          </w:p>
        </w:tc>
      </w:tr>
      <w:tr w14:paraId="2DED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709" w:type="dxa"/>
            <w:vMerge w:val="restart"/>
            <w:vAlign w:val="center"/>
          </w:tcPr>
          <w:p w14:paraId="741AC5C5">
            <w:pPr>
              <w:spacing w:line="396" w:lineRule="auto"/>
              <w:rPr>
                <w:rFonts w:ascii="仿宋" w:hAnsi="仿宋" w:eastAsia="仿宋"/>
                <w:bCs/>
              </w:rPr>
            </w:pPr>
            <w:r>
              <w:rPr>
                <w:rFonts w:ascii="仿宋" w:hAnsi="仿宋" w:eastAsia="仿宋"/>
                <w:bCs/>
              </w:rPr>
              <w:t>3</w:t>
            </w:r>
            <w:r>
              <w:rPr>
                <w:rFonts w:hint="eastAsia" w:ascii="仿宋" w:hAnsi="仿宋" w:eastAsia="仿宋"/>
                <w:bCs/>
              </w:rPr>
              <w:t>、功能模块要求</w:t>
            </w:r>
          </w:p>
        </w:tc>
        <w:tc>
          <w:tcPr>
            <w:tcW w:w="7654" w:type="dxa"/>
            <w:gridSpan w:val="2"/>
            <w:shd w:val="clear" w:color="auto" w:fill="auto"/>
            <w:vAlign w:val="center"/>
          </w:tcPr>
          <w:p w14:paraId="42220383">
            <w:pPr>
              <w:spacing w:line="396" w:lineRule="auto"/>
              <w:rPr>
                <w:rFonts w:ascii="仿宋" w:hAnsi="仿宋" w:eastAsia="仿宋"/>
                <w:bCs/>
              </w:rPr>
            </w:pPr>
            <w:r>
              <w:rPr>
                <w:rFonts w:hint="eastAsia" w:ascii="仿宋" w:hAnsi="仿宋" w:eastAsia="仿宋"/>
                <w:bCs/>
              </w:rPr>
              <w:t>系统学习：医护人员进入相关题库进行自由练习，并可记录错误题目；可自行从所有题库目录中抽取指定试题，进行模拟考核，可对组好的题目进行再次考核，查看答案等功能；对疑点难点深入剖析，随时查看快速释疑；</w:t>
            </w:r>
          </w:p>
        </w:tc>
      </w:tr>
      <w:tr w14:paraId="6792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709" w:type="dxa"/>
            <w:vMerge w:val="continue"/>
            <w:vAlign w:val="center"/>
          </w:tcPr>
          <w:p w14:paraId="0EB85065">
            <w:pPr>
              <w:spacing w:line="396" w:lineRule="auto"/>
              <w:rPr>
                <w:rFonts w:ascii="仿宋" w:hAnsi="仿宋" w:eastAsia="仿宋"/>
                <w:bCs/>
              </w:rPr>
            </w:pPr>
          </w:p>
        </w:tc>
        <w:tc>
          <w:tcPr>
            <w:tcW w:w="7654" w:type="dxa"/>
            <w:gridSpan w:val="2"/>
            <w:shd w:val="clear" w:color="auto" w:fill="auto"/>
            <w:vAlign w:val="center"/>
          </w:tcPr>
          <w:p w14:paraId="4FF0E51E">
            <w:pPr>
              <w:spacing w:line="396" w:lineRule="auto"/>
              <w:rPr>
                <w:rFonts w:ascii="仿宋" w:hAnsi="仿宋" w:eastAsia="仿宋"/>
                <w:bCs/>
              </w:rPr>
            </w:pPr>
            <w:r>
              <w:rPr>
                <w:rFonts w:hint="eastAsia" w:ascii="仿宋" w:hAnsi="仿宋" w:eastAsia="仿宋"/>
                <w:bCs/>
              </w:rPr>
              <w:t>强化训练：实现由题库中划定范围，抽取指定或随机试题，指定医护人员进行强化训练。且支持由强化训练创建随机试卷或指定试卷进行考试。支持在多强化训练中组成一套试卷。</w:t>
            </w:r>
          </w:p>
        </w:tc>
      </w:tr>
      <w:tr w14:paraId="2F1D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709" w:type="dxa"/>
            <w:vMerge w:val="continue"/>
            <w:vAlign w:val="center"/>
          </w:tcPr>
          <w:p w14:paraId="7D22392A">
            <w:pPr>
              <w:spacing w:line="396" w:lineRule="auto"/>
              <w:rPr>
                <w:rFonts w:ascii="仿宋" w:hAnsi="仿宋" w:eastAsia="仿宋"/>
                <w:bCs/>
              </w:rPr>
            </w:pPr>
          </w:p>
        </w:tc>
        <w:tc>
          <w:tcPr>
            <w:tcW w:w="587" w:type="dxa"/>
            <w:vMerge w:val="restart"/>
            <w:shd w:val="clear" w:color="auto" w:fill="auto"/>
            <w:vAlign w:val="center"/>
          </w:tcPr>
          <w:p w14:paraId="24F7EF9A">
            <w:pPr>
              <w:spacing w:line="396" w:lineRule="auto"/>
              <w:rPr>
                <w:rFonts w:ascii="仿宋" w:hAnsi="仿宋" w:eastAsia="仿宋"/>
                <w:bCs/>
              </w:rPr>
            </w:pPr>
            <w:r>
              <w:rPr>
                <w:rFonts w:hint="eastAsia" w:ascii="仿宋" w:hAnsi="仿宋" w:eastAsia="仿宋"/>
                <w:bCs/>
              </w:rPr>
              <w:t>考 务</w:t>
            </w:r>
          </w:p>
          <w:p w14:paraId="56AFBDC9">
            <w:pPr>
              <w:spacing w:line="396" w:lineRule="auto"/>
              <w:rPr>
                <w:rFonts w:ascii="仿宋" w:hAnsi="仿宋" w:eastAsia="仿宋"/>
                <w:bCs/>
              </w:rPr>
            </w:pPr>
            <w:r>
              <w:rPr>
                <w:rFonts w:hint="eastAsia" w:ascii="仿宋" w:hAnsi="仿宋" w:eastAsia="仿宋"/>
                <w:bCs/>
              </w:rPr>
              <w:t>管 理</w:t>
            </w:r>
          </w:p>
        </w:tc>
        <w:tc>
          <w:tcPr>
            <w:tcW w:w="7067" w:type="dxa"/>
            <w:shd w:val="clear" w:color="auto" w:fill="auto"/>
            <w:vAlign w:val="center"/>
          </w:tcPr>
          <w:p w14:paraId="2F10B5DE">
            <w:pPr>
              <w:spacing w:line="396" w:lineRule="auto"/>
              <w:rPr>
                <w:rFonts w:ascii="仿宋" w:hAnsi="仿宋" w:eastAsia="仿宋"/>
                <w:bCs/>
              </w:rPr>
            </w:pPr>
            <w:r>
              <w:rPr>
                <w:rFonts w:hint="eastAsia" w:ascii="仿宋" w:hAnsi="仿宋" w:eastAsia="仿宋"/>
                <w:bCs/>
              </w:rPr>
              <w:t>指定试卷：可按题目内容或分类，从题库中任意组织试卷，所有试卷可复用，可编辑，且不影响整体题库内容。</w:t>
            </w:r>
          </w:p>
        </w:tc>
      </w:tr>
      <w:tr w14:paraId="08CF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709" w:type="dxa"/>
            <w:vMerge w:val="continue"/>
            <w:vAlign w:val="center"/>
          </w:tcPr>
          <w:p w14:paraId="23F77F6B">
            <w:pPr>
              <w:spacing w:line="396" w:lineRule="auto"/>
              <w:rPr>
                <w:rFonts w:ascii="仿宋" w:hAnsi="仿宋" w:eastAsia="仿宋"/>
                <w:bCs/>
              </w:rPr>
            </w:pPr>
          </w:p>
        </w:tc>
        <w:tc>
          <w:tcPr>
            <w:tcW w:w="587" w:type="dxa"/>
            <w:vMerge w:val="continue"/>
            <w:shd w:val="clear" w:color="auto" w:fill="auto"/>
            <w:vAlign w:val="center"/>
          </w:tcPr>
          <w:p w14:paraId="68DFEB09">
            <w:pPr>
              <w:spacing w:line="396" w:lineRule="auto"/>
              <w:rPr>
                <w:rFonts w:ascii="仿宋" w:hAnsi="仿宋" w:eastAsia="仿宋"/>
                <w:bCs/>
              </w:rPr>
            </w:pPr>
          </w:p>
        </w:tc>
        <w:tc>
          <w:tcPr>
            <w:tcW w:w="7067" w:type="dxa"/>
            <w:shd w:val="clear" w:color="auto" w:fill="auto"/>
            <w:vAlign w:val="center"/>
          </w:tcPr>
          <w:p w14:paraId="714896D4">
            <w:pPr>
              <w:spacing w:line="396" w:lineRule="auto"/>
              <w:rPr>
                <w:rFonts w:ascii="仿宋" w:hAnsi="仿宋" w:eastAsia="仿宋"/>
                <w:bCs/>
              </w:rPr>
            </w:pPr>
            <w:r>
              <w:rPr>
                <w:rFonts w:hint="eastAsia" w:ascii="仿宋" w:hAnsi="仿宋" w:eastAsia="仿宋"/>
                <w:bCs/>
              </w:rPr>
              <w:t>随机组卷：可按题库路径组织随机试卷，产生A</w:t>
            </w:r>
            <w:r>
              <w:rPr>
                <w:rFonts w:ascii="仿宋" w:hAnsi="仿宋" w:eastAsia="仿宋"/>
                <w:bCs/>
              </w:rPr>
              <w:t>BCD</w:t>
            </w:r>
            <w:r>
              <w:rPr>
                <w:rFonts w:hint="eastAsia" w:ascii="仿宋" w:hAnsi="仿宋" w:eastAsia="仿宋"/>
                <w:bCs/>
              </w:rPr>
              <w:t>卷，保证每个考生试卷不完全相同。</w:t>
            </w:r>
          </w:p>
        </w:tc>
      </w:tr>
      <w:tr w14:paraId="4856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4" w:hRule="atLeast"/>
        </w:trPr>
        <w:tc>
          <w:tcPr>
            <w:tcW w:w="709" w:type="dxa"/>
            <w:vMerge w:val="continue"/>
            <w:vAlign w:val="center"/>
          </w:tcPr>
          <w:p w14:paraId="0DE6000C">
            <w:pPr>
              <w:spacing w:line="396" w:lineRule="auto"/>
              <w:rPr>
                <w:rFonts w:ascii="仿宋" w:hAnsi="仿宋" w:eastAsia="仿宋"/>
                <w:bCs/>
              </w:rPr>
            </w:pPr>
          </w:p>
        </w:tc>
        <w:tc>
          <w:tcPr>
            <w:tcW w:w="587" w:type="dxa"/>
            <w:vMerge w:val="continue"/>
            <w:shd w:val="clear" w:color="auto" w:fill="auto"/>
            <w:vAlign w:val="center"/>
          </w:tcPr>
          <w:p w14:paraId="4B9C92CB">
            <w:pPr>
              <w:spacing w:line="396" w:lineRule="auto"/>
              <w:rPr>
                <w:rFonts w:ascii="仿宋" w:hAnsi="仿宋" w:eastAsia="仿宋"/>
                <w:bCs/>
              </w:rPr>
            </w:pPr>
          </w:p>
        </w:tc>
        <w:tc>
          <w:tcPr>
            <w:tcW w:w="7067" w:type="dxa"/>
            <w:shd w:val="clear" w:color="auto" w:fill="auto"/>
            <w:vAlign w:val="center"/>
          </w:tcPr>
          <w:p w14:paraId="50B845B2">
            <w:pPr>
              <w:spacing w:line="396" w:lineRule="auto"/>
              <w:rPr>
                <w:rFonts w:ascii="仿宋" w:hAnsi="仿宋" w:eastAsia="仿宋"/>
                <w:bCs/>
              </w:rPr>
            </w:pPr>
            <w:r>
              <w:rPr>
                <w:rFonts w:hint="eastAsia" w:ascii="仿宋" w:hAnsi="仿宋" w:eastAsia="仿宋"/>
                <w:bCs/>
              </w:rPr>
              <w:t>以卷组卷：可实现一键完成试卷的复制，快捷组建差异较小的试卷；支持多套试卷抽取组成一套试卷。</w:t>
            </w:r>
          </w:p>
        </w:tc>
      </w:tr>
      <w:tr w14:paraId="0BFA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 w:hRule="atLeast"/>
        </w:trPr>
        <w:tc>
          <w:tcPr>
            <w:tcW w:w="709" w:type="dxa"/>
            <w:vMerge w:val="continue"/>
            <w:vAlign w:val="center"/>
          </w:tcPr>
          <w:p w14:paraId="38B79982">
            <w:pPr>
              <w:spacing w:line="396" w:lineRule="auto"/>
              <w:rPr>
                <w:rFonts w:ascii="仿宋" w:hAnsi="仿宋" w:eastAsia="仿宋"/>
                <w:bCs/>
              </w:rPr>
            </w:pPr>
          </w:p>
        </w:tc>
        <w:tc>
          <w:tcPr>
            <w:tcW w:w="587" w:type="dxa"/>
            <w:vMerge w:val="continue"/>
            <w:shd w:val="clear" w:color="auto" w:fill="auto"/>
            <w:vAlign w:val="center"/>
          </w:tcPr>
          <w:p w14:paraId="7688D4DC">
            <w:pPr>
              <w:spacing w:line="396" w:lineRule="auto"/>
              <w:rPr>
                <w:rFonts w:ascii="仿宋" w:hAnsi="仿宋" w:eastAsia="仿宋"/>
                <w:bCs/>
              </w:rPr>
            </w:pPr>
          </w:p>
        </w:tc>
        <w:tc>
          <w:tcPr>
            <w:tcW w:w="7067" w:type="dxa"/>
            <w:shd w:val="clear" w:color="auto" w:fill="auto"/>
            <w:vAlign w:val="center"/>
          </w:tcPr>
          <w:p w14:paraId="7A5AE472">
            <w:pPr>
              <w:spacing w:line="396" w:lineRule="auto"/>
              <w:rPr>
                <w:rFonts w:ascii="仿宋" w:hAnsi="仿宋" w:eastAsia="仿宋"/>
                <w:bCs/>
              </w:rPr>
            </w:pPr>
            <w:r>
              <w:rPr>
                <w:rFonts w:hint="eastAsia" w:ascii="仿宋" w:hAnsi="仿宋" w:eastAsia="仿宋"/>
                <w:bCs/>
              </w:rPr>
              <w:t>强化组卷：从强化训练题库直接组卷，支持从多个强化训练中组卷，缩小选题范围。</w:t>
            </w:r>
          </w:p>
        </w:tc>
      </w:tr>
      <w:tr w14:paraId="1E31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 w:hRule="atLeast"/>
        </w:trPr>
        <w:tc>
          <w:tcPr>
            <w:tcW w:w="709" w:type="dxa"/>
            <w:vMerge w:val="continue"/>
            <w:vAlign w:val="center"/>
          </w:tcPr>
          <w:p w14:paraId="30604C7F">
            <w:pPr>
              <w:spacing w:line="396" w:lineRule="auto"/>
              <w:rPr>
                <w:rFonts w:ascii="仿宋" w:hAnsi="仿宋" w:eastAsia="仿宋"/>
                <w:bCs/>
              </w:rPr>
            </w:pPr>
          </w:p>
        </w:tc>
        <w:tc>
          <w:tcPr>
            <w:tcW w:w="587" w:type="dxa"/>
            <w:vMerge w:val="continue"/>
            <w:shd w:val="clear" w:color="auto" w:fill="auto"/>
            <w:vAlign w:val="center"/>
          </w:tcPr>
          <w:p w14:paraId="796371E9">
            <w:pPr>
              <w:spacing w:line="396" w:lineRule="auto"/>
              <w:rPr>
                <w:rFonts w:ascii="仿宋" w:hAnsi="仿宋" w:eastAsia="仿宋"/>
                <w:bCs/>
              </w:rPr>
            </w:pPr>
          </w:p>
        </w:tc>
        <w:tc>
          <w:tcPr>
            <w:tcW w:w="7067" w:type="dxa"/>
            <w:shd w:val="clear" w:color="auto" w:fill="auto"/>
            <w:vAlign w:val="center"/>
          </w:tcPr>
          <w:p w14:paraId="7715E650">
            <w:pPr>
              <w:spacing w:line="396" w:lineRule="auto"/>
              <w:rPr>
                <w:rFonts w:ascii="仿宋" w:hAnsi="仿宋" w:eastAsia="仿宋"/>
                <w:bCs/>
              </w:rPr>
            </w:pPr>
            <w:r>
              <w:rPr>
                <w:rFonts w:hint="eastAsia" w:ascii="仿宋" w:hAnsi="仿宋" w:eastAsia="仿宋"/>
                <w:bCs/>
              </w:rPr>
              <w:t>精准组卷：按照路径关键字搜索组织试卷。</w:t>
            </w:r>
          </w:p>
        </w:tc>
      </w:tr>
      <w:tr w14:paraId="29A7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 w:hRule="atLeast"/>
        </w:trPr>
        <w:tc>
          <w:tcPr>
            <w:tcW w:w="709" w:type="dxa"/>
            <w:vMerge w:val="continue"/>
            <w:vAlign w:val="center"/>
          </w:tcPr>
          <w:p w14:paraId="699C70C8">
            <w:pPr>
              <w:spacing w:line="396" w:lineRule="auto"/>
              <w:rPr>
                <w:rFonts w:ascii="仿宋" w:hAnsi="仿宋" w:eastAsia="仿宋"/>
                <w:bCs/>
              </w:rPr>
            </w:pPr>
          </w:p>
        </w:tc>
        <w:tc>
          <w:tcPr>
            <w:tcW w:w="587" w:type="dxa"/>
            <w:vMerge w:val="continue"/>
            <w:shd w:val="clear" w:color="auto" w:fill="auto"/>
            <w:vAlign w:val="center"/>
          </w:tcPr>
          <w:p w14:paraId="319F9527">
            <w:pPr>
              <w:spacing w:line="396" w:lineRule="auto"/>
              <w:rPr>
                <w:rFonts w:ascii="仿宋" w:hAnsi="仿宋" w:eastAsia="仿宋"/>
                <w:bCs/>
              </w:rPr>
            </w:pPr>
          </w:p>
        </w:tc>
        <w:tc>
          <w:tcPr>
            <w:tcW w:w="7067" w:type="dxa"/>
            <w:shd w:val="clear" w:color="auto" w:fill="auto"/>
            <w:vAlign w:val="center"/>
          </w:tcPr>
          <w:p w14:paraId="5229D39B">
            <w:pPr>
              <w:spacing w:line="396" w:lineRule="auto"/>
              <w:rPr>
                <w:rFonts w:ascii="仿宋" w:hAnsi="仿宋" w:eastAsia="仿宋"/>
                <w:bCs/>
              </w:rPr>
            </w:pPr>
            <w:r>
              <w:rPr>
                <w:rFonts w:hint="eastAsia" w:ascii="仿宋" w:hAnsi="仿宋" w:eastAsia="仿宋"/>
                <w:bCs/>
              </w:rPr>
              <w:t>收藏组卷：从自己收藏的题目中抽题，实现重点知识考核。</w:t>
            </w:r>
          </w:p>
        </w:tc>
      </w:tr>
      <w:tr w14:paraId="5597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709" w:type="dxa"/>
            <w:vMerge w:val="continue"/>
            <w:vAlign w:val="center"/>
          </w:tcPr>
          <w:p w14:paraId="24250292">
            <w:pPr>
              <w:spacing w:line="396" w:lineRule="auto"/>
              <w:rPr>
                <w:rFonts w:ascii="仿宋" w:hAnsi="仿宋" w:eastAsia="仿宋"/>
                <w:bCs/>
              </w:rPr>
            </w:pPr>
          </w:p>
        </w:tc>
        <w:tc>
          <w:tcPr>
            <w:tcW w:w="587" w:type="dxa"/>
            <w:vMerge w:val="continue"/>
            <w:shd w:val="clear" w:color="auto" w:fill="auto"/>
            <w:vAlign w:val="center"/>
          </w:tcPr>
          <w:p w14:paraId="3AE06C43">
            <w:pPr>
              <w:spacing w:line="396" w:lineRule="auto"/>
              <w:rPr>
                <w:rFonts w:ascii="仿宋" w:hAnsi="仿宋" w:eastAsia="仿宋"/>
                <w:bCs/>
              </w:rPr>
            </w:pPr>
          </w:p>
        </w:tc>
        <w:tc>
          <w:tcPr>
            <w:tcW w:w="7067" w:type="dxa"/>
            <w:shd w:val="clear" w:color="auto" w:fill="auto"/>
            <w:vAlign w:val="center"/>
          </w:tcPr>
          <w:p w14:paraId="4EA61C48">
            <w:pPr>
              <w:spacing w:line="396" w:lineRule="auto"/>
              <w:rPr>
                <w:rFonts w:ascii="仿宋" w:hAnsi="仿宋" w:eastAsia="仿宋"/>
                <w:bCs/>
              </w:rPr>
            </w:pPr>
            <w:r>
              <w:rPr>
                <w:rFonts w:hint="eastAsia" w:ascii="仿宋" w:hAnsi="仿宋" w:eastAsia="仿宋"/>
                <w:bCs/>
              </w:rPr>
              <w:t>考生管理：对参加考试的考生进行选择，或重置、取消考试资格等操作；支持考生名单导入模式。</w:t>
            </w:r>
          </w:p>
        </w:tc>
      </w:tr>
      <w:tr w14:paraId="0547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709" w:type="dxa"/>
            <w:vMerge w:val="continue"/>
            <w:vAlign w:val="center"/>
          </w:tcPr>
          <w:p w14:paraId="3E0A44AD">
            <w:pPr>
              <w:spacing w:line="396" w:lineRule="auto"/>
              <w:rPr>
                <w:rFonts w:ascii="仿宋" w:hAnsi="仿宋" w:eastAsia="仿宋"/>
                <w:bCs/>
              </w:rPr>
            </w:pPr>
          </w:p>
        </w:tc>
        <w:tc>
          <w:tcPr>
            <w:tcW w:w="587" w:type="dxa"/>
            <w:vMerge w:val="continue"/>
            <w:shd w:val="clear" w:color="auto" w:fill="auto"/>
            <w:vAlign w:val="center"/>
          </w:tcPr>
          <w:p w14:paraId="2AF981F5">
            <w:pPr>
              <w:spacing w:line="396" w:lineRule="auto"/>
              <w:rPr>
                <w:rFonts w:ascii="仿宋" w:hAnsi="仿宋" w:eastAsia="仿宋"/>
                <w:bCs/>
              </w:rPr>
            </w:pPr>
          </w:p>
        </w:tc>
        <w:tc>
          <w:tcPr>
            <w:tcW w:w="7067" w:type="dxa"/>
            <w:shd w:val="clear" w:color="auto" w:fill="auto"/>
            <w:vAlign w:val="center"/>
          </w:tcPr>
          <w:p w14:paraId="40FB5711">
            <w:pPr>
              <w:spacing w:line="396" w:lineRule="auto"/>
              <w:rPr>
                <w:rFonts w:ascii="仿宋" w:hAnsi="仿宋" w:eastAsia="仿宋"/>
                <w:bCs/>
              </w:rPr>
            </w:pPr>
            <w:r>
              <w:rPr>
                <w:rFonts w:hint="eastAsia" w:ascii="仿宋" w:hAnsi="仿宋" w:eastAsia="仿宋"/>
                <w:bCs/>
              </w:rPr>
              <w:t>试卷导出：从试卷管理中一键导出双行或者单行格式的W</w:t>
            </w:r>
            <w:r>
              <w:rPr>
                <w:rFonts w:ascii="仿宋" w:hAnsi="仿宋" w:eastAsia="仿宋"/>
                <w:bCs/>
              </w:rPr>
              <w:t>ord</w:t>
            </w:r>
            <w:r>
              <w:rPr>
                <w:rFonts w:hint="eastAsia" w:ascii="仿宋" w:hAnsi="仿宋" w:eastAsia="仿宋"/>
                <w:bCs/>
              </w:rPr>
              <w:t>试卷。</w:t>
            </w:r>
          </w:p>
        </w:tc>
      </w:tr>
      <w:tr w14:paraId="322B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709" w:type="dxa"/>
            <w:vMerge w:val="continue"/>
            <w:vAlign w:val="center"/>
          </w:tcPr>
          <w:p w14:paraId="33E084B5">
            <w:pPr>
              <w:spacing w:line="396" w:lineRule="auto"/>
              <w:rPr>
                <w:rFonts w:ascii="仿宋" w:hAnsi="仿宋" w:eastAsia="仿宋"/>
                <w:bCs/>
              </w:rPr>
            </w:pPr>
          </w:p>
        </w:tc>
        <w:tc>
          <w:tcPr>
            <w:tcW w:w="587" w:type="dxa"/>
            <w:vMerge w:val="continue"/>
            <w:shd w:val="clear" w:color="auto" w:fill="auto"/>
            <w:vAlign w:val="center"/>
          </w:tcPr>
          <w:p w14:paraId="474FE32E">
            <w:pPr>
              <w:spacing w:line="396" w:lineRule="auto"/>
              <w:rPr>
                <w:rFonts w:ascii="仿宋" w:hAnsi="仿宋" w:eastAsia="仿宋"/>
                <w:bCs/>
              </w:rPr>
            </w:pPr>
          </w:p>
        </w:tc>
        <w:tc>
          <w:tcPr>
            <w:tcW w:w="7067" w:type="dxa"/>
            <w:shd w:val="clear" w:color="auto" w:fill="auto"/>
            <w:vAlign w:val="center"/>
          </w:tcPr>
          <w:p w14:paraId="5ECB23DE">
            <w:pPr>
              <w:spacing w:line="396" w:lineRule="auto"/>
              <w:rPr>
                <w:rFonts w:ascii="仿宋" w:hAnsi="仿宋" w:eastAsia="仿宋"/>
                <w:bCs/>
              </w:rPr>
            </w:pPr>
            <w:r>
              <w:rPr>
                <w:rFonts w:hint="eastAsia" w:ascii="仿宋" w:hAnsi="仿宋" w:eastAsia="仿宋"/>
                <w:bCs/>
              </w:rPr>
              <w:t>成绩管理：查看全体考生考试成绩，并可以查看到每个考生的试卷，可批量导出电子试卷，作为永久保存资料。</w:t>
            </w:r>
          </w:p>
        </w:tc>
      </w:tr>
      <w:tr w14:paraId="4F60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 w:hRule="atLeast"/>
        </w:trPr>
        <w:tc>
          <w:tcPr>
            <w:tcW w:w="709" w:type="dxa"/>
            <w:vMerge w:val="continue"/>
            <w:vAlign w:val="center"/>
          </w:tcPr>
          <w:p w14:paraId="56341362">
            <w:pPr>
              <w:spacing w:line="396" w:lineRule="auto"/>
              <w:rPr>
                <w:rFonts w:ascii="仿宋" w:hAnsi="仿宋" w:eastAsia="仿宋"/>
                <w:bCs/>
              </w:rPr>
            </w:pPr>
          </w:p>
        </w:tc>
        <w:tc>
          <w:tcPr>
            <w:tcW w:w="587" w:type="dxa"/>
            <w:vMerge w:val="continue"/>
            <w:shd w:val="clear" w:color="auto" w:fill="auto"/>
            <w:vAlign w:val="center"/>
          </w:tcPr>
          <w:p w14:paraId="26D87F81">
            <w:pPr>
              <w:spacing w:line="396" w:lineRule="auto"/>
              <w:rPr>
                <w:rFonts w:ascii="仿宋" w:hAnsi="仿宋" w:eastAsia="仿宋"/>
                <w:bCs/>
              </w:rPr>
            </w:pPr>
          </w:p>
        </w:tc>
        <w:tc>
          <w:tcPr>
            <w:tcW w:w="7067" w:type="dxa"/>
            <w:shd w:val="clear" w:color="auto" w:fill="auto"/>
            <w:vAlign w:val="center"/>
          </w:tcPr>
          <w:p w14:paraId="5AA036BA">
            <w:pPr>
              <w:spacing w:line="396" w:lineRule="auto"/>
              <w:rPr>
                <w:rFonts w:ascii="仿宋" w:hAnsi="仿宋" w:eastAsia="仿宋"/>
                <w:bCs/>
              </w:rPr>
            </w:pPr>
            <w:r>
              <w:rPr>
                <w:rFonts w:hint="eastAsia" w:ascii="仿宋" w:hAnsi="仿宋" w:eastAsia="仿宋"/>
                <w:bCs/>
              </w:rPr>
              <w:t>试卷分析：对该场考试的试卷进行详细的分析，不同角度分析考试成绩，生成相应图表，且可按题目进行逐题分析，为下次培训侧重点提供重要依据。</w:t>
            </w:r>
          </w:p>
        </w:tc>
      </w:tr>
      <w:tr w14:paraId="6C51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 w:hRule="atLeast"/>
        </w:trPr>
        <w:tc>
          <w:tcPr>
            <w:tcW w:w="709" w:type="dxa"/>
            <w:vMerge w:val="continue"/>
            <w:vAlign w:val="center"/>
          </w:tcPr>
          <w:p w14:paraId="404DAE90">
            <w:pPr>
              <w:spacing w:line="396" w:lineRule="auto"/>
              <w:rPr>
                <w:rFonts w:ascii="仿宋" w:hAnsi="仿宋" w:eastAsia="仿宋"/>
                <w:bCs/>
              </w:rPr>
            </w:pPr>
          </w:p>
        </w:tc>
        <w:tc>
          <w:tcPr>
            <w:tcW w:w="587" w:type="dxa"/>
            <w:vMerge w:val="continue"/>
            <w:shd w:val="clear" w:color="auto" w:fill="auto"/>
            <w:vAlign w:val="center"/>
          </w:tcPr>
          <w:p w14:paraId="7F2EAB1E">
            <w:pPr>
              <w:spacing w:line="396" w:lineRule="auto"/>
              <w:rPr>
                <w:rFonts w:ascii="仿宋" w:hAnsi="仿宋" w:eastAsia="仿宋"/>
                <w:bCs/>
              </w:rPr>
            </w:pPr>
          </w:p>
        </w:tc>
        <w:tc>
          <w:tcPr>
            <w:tcW w:w="7067" w:type="dxa"/>
            <w:shd w:val="clear" w:color="auto" w:fill="auto"/>
            <w:vAlign w:val="center"/>
          </w:tcPr>
          <w:p w14:paraId="3C6791D0">
            <w:pPr>
              <w:spacing w:line="396" w:lineRule="auto"/>
              <w:rPr>
                <w:rFonts w:ascii="仿宋" w:hAnsi="仿宋" w:eastAsia="仿宋"/>
                <w:bCs/>
              </w:rPr>
            </w:pPr>
            <w:r>
              <w:rPr>
                <w:rFonts w:hint="eastAsia" w:ascii="仿宋" w:hAnsi="仿宋" w:eastAsia="仿宋"/>
                <w:bCs/>
              </w:rPr>
              <w:t>考试设置：支持一路向前考试模式；支持考试终端限定模式。 支持主观题Ai全自动阅卷功能。</w:t>
            </w:r>
          </w:p>
        </w:tc>
      </w:tr>
      <w:tr w14:paraId="72BB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0" w:hRule="atLeast"/>
        </w:trPr>
        <w:tc>
          <w:tcPr>
            <w:tcW w:w="709" w:type="dxa"/>
            <w:vMerge w:val="continue"/>
            <w:vAlign w:val="center"/>
          </w:tcPr>
          <w:p w14:paraId="1535EB18">
            <w:pPr>
              <w:spacing w:line="396" w:lineRule="auto"/>
              <w:rPr>
                <w:rFonts w:ascii="仿宋" w:hAnsi="仿宋" w:eastAsia="仿宋"/>
                <w:bCs/>
              </w:rPr>
            </w:pPr>
          </w:p>
        </w:tc>
        <w:tc>
          <w:tcPr>
            <w:tcW w:w="587" w:type="dxa"/>
            <w:vMerge w:val="continue"/>
            <w:shd w:val="clear" w:color="auto" w:fill="auto"/>
            <w:vAlign w:val="center"/>
          </w:tcPr>
          <w:p w14:paraId="5088AAE5">
            <w:pPr>
              <w:spacing w:line="396" w:lineRule="auto"/>
              <w:rPr>
                <w:rFonts w:ascii="仿宋" w:hAnsi="仿宋" w:eastAsia="仿宋"/>
                <w:bCs/>
              </w:rPr>
            </w:pPr>
          </w:p>
        </w:tc>
        <w:tc>
          <w:tcPr>
            <w:tcW w:w="7067" w:type="dxa"/>
            <w:shd w:val="clear" w:color="auto" w:fill="auto"/>
            <w:vAlign w:val="center"/>
          </w:tcPr>
          <w:p w14:paraId="2610EF5B">
            <w:pPr>
              <w:spacing w:line="396" w:lineRule="auto"/>
              <w:rPr>
                <w:rFonts w:ascii="仿宋" w:hAnsi="仿宋" w:eastAsia="仿宋"/>
                <w:bCs/>
              </w:rPr>
            </w:pPr>
            <w:r>
              <w:rPr>
                <w:rFonts w:hint="eastAsia" w:ascii="仿宋" w:hAnsi="仿宋" w:eastAsia="仿宋"/>
                <w:bCs/>
              </w:rPr>
              <w:t>防作弊：系统页面禁止复制粘贴，题目顺序打乱，还可设置退出后台次数，如用户考试过程中退出考试界面次数超出设置次数则强制交卷，且退出台后次数可关闭。</w:t>
            </w:r>
          </w:p>
        </w:tc>
      </w:tr>
      <w:tr w14:paraId="70EB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 w:hRule="atLeast"/>
        </w:trPr>
        <w:tc>
          <w:tcPr>
            <w:tcW w:w="709" w:type="dxa"/>
            <w:vMerge w:val="continue"/>
            <w:vAlign w:val="center"/>
          </w:tcPr>
          <w:p w14:paraId="139C62C5">
            <w:pPr>
              <w:spacing w:line="396" w:lineRule="auto"/>
              <w:rPr>
                <w:rFonts w:ascii="仿宋" w:hAnsi="仿宋" w:eastAsia="仿宋"/>
                <w:bCs/>
              </w:rPr>
            </w:pPr>
          </w:p>
        </w:tc>
        <w:tc>
          <w:tcPr>
            <w:tcW w:w="587" w:type="dxa"/>
            <w:vMerge w:val="continue"/>
            <w:shd w:val="clear" w:color="auto" w:fill="auto"/>
            <w:vAlign w:val="center"/>
          </w:tcPr>
          <w:p w14:paraId="7185D30A">
            <w:pPr>
              <w:spacing w:line="396" w:lineRule="auto"/>
              <w:rPr>
                <w:rFonts w:ascii="仿宋" w:hAnsi="仿宋" w:eastAsia="仿宋"/>
                <w:bCs/>
              </w:rPr>
            </w:pPr>
          </w:p>
        </w:tc>
        <w:tc>
          <w:tcPr>
            <w:tcW w:w="7067" w:type="dxa"/>
            <w:shd w:val="clear" w:color="auto" w:fill="auto"/>
            <w:vAlign w:val="center"/>
          </w:tcPr>
          <w:p w14:paraId="35FE1EAB">
            <w:pPr>
              <w:spacing w:line="396" w:lineRule="auto"/>
              <w:rPr>
                <w:rFonts w:ascii="仿宋" w:hAnsi="仿宋" w:eastAsia="仿宋"/>
                <w:bCs/>
              </w:rPr>
            </w:pPr>
            <w:r>
              <w:rPr>
                <w:rFonts w:hint="eastAsia" w:ascii="仿宋" w:hAnsi="仿宋" w:eastAsia="仿宋"/>
                <w:bCs/>
              </w:rPr>
              <w:t>支持考试退出界面次数限制。</w:t>
            </w:r>
          </w:p>
        </w:tc>
      </w:tr>
      <w:tr w14:paraId="4FE3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709" w:type="dxa"/>
            <w:vMerge w:val="continue"/>
            <w:vAlign w:val="center"/>
          </w:tcPr>
          <w:p w14:paraId="10C1B28F">
            <w:pPr>
              <w:spacing w:line="396" w:lineRule="auto"/>
              <w:rPr>
                <w:rFonts w:ascii="仿宋" w:hAnsi="仿宋" w:eastAsia="仿宋"/>
                <w:bCs/>
              </w:rPr>
            </w:pPr>
          </w:p>
        </w:tc>
        <w:tc>
          <w:tcPr>
            <w:tcW w:w="587" w:type="dxa"/>
            <w:vMerge w:val="restart"/>
            <w:shd w:val="clear" w:color="auto" w:fill="auto"/>
            <w:vAlign w:val="center"/>
          </w:tcPr>
          <w:p w14:paraId="71EBDB9B">
            <w:pPr>
              <w:spacing w:line="396" w:lineRule="auto"/>
              <w:rPr>
                <w:rFonts w:ascii="仿宋" w:hAnsi="仿宋" w:eastAsia="仿宋"/>
                <w:bCs/>
              </w:rPr>
            </w:pPr>
            <w:r>
              <w:rPr>
                <w:rFonts w:hint="eastAsia" w:ascii="仿宋" w:hAnsi="仿宋" w:eastAsia="仿宋"/>
                <w:bCs/>
              </w:rPr>
              <w:t>题库管 理</w:t>
            </w:r>
          </w:p>
        </w:tc>
        <w:tc>
          <w:tcPr>
            <w:tcW w:w="7067" w:type="dxa"/>
            <w:shd w:val="clear" w:color="auto" w:fill="auto"/>
            <w:vAlign w:val="center"/>
          </w:tcPr>
          <w:p w14:paraId="0054CA57">
            <w:pPr>
              <w:spacing w:line="396" w:lineRule="auto"/>
              <w:rPr>
                <w:rFonts w:ascii="仿宋" w:hAnsi="仿宋" w:eastAsia="仿宋"/>
                <w:bCs/>
              </w:rPr>
            </w:pPr>
            <w:r>
              <w:rPr>
                <w:rFonts w:hint="eastAsia" w:ascii="仿宋" w:hAnsi="仿宋" w:eastAsia="仿宋"/>
                <w:bCs/>
              </w:rPr>
              <w:t>系统提供灵活的题库导入机制，用户可自行定义题库导入，支持多种题目类型的题库导入功能。永久帮助用户导入用户所需题库，并实时更新相应题库。也可以按考试要求检索题干查找相应科目进行组卷学习。</w:t>
            </w:r>
          </w:p>
        </w:tc>
      </w:tr>
      <w:tr w14:paraId="0856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709" w:type="dxa"/>
            <w:vMerge w:val="continue"/>
            <w:vAlign w:val="center"/>
          </w:tcPr>
          <w:p w14:paraId="55F5C845">
            <w:pPr>
              <w:spacing w:line="396" w:lineRule="auto"/>
              <w:rPr>
                <w:rFonts w:ascii="仿宋" w:hAnsi="仿宋" w:eastAsia="仿宋"/>
                <w:bCs/>
              </w:rPr>
            </w:pPr>
          </w:p>
        </w:tc>
        <w:tc>
          <w:tcPr>
            <w:tcW w:w="587" w:type="dxa"/>
            <w:vMerge w:val="continue"/>
            <w:shd w:val="clear" w:color="auto" w:fill="auto"/>
            <w:vAlign w:val="center"/>
          </w:tcPr>
          <w:p w14:paraId="5110D78E">
            <w:pPr>
              <w:spacing w:line="396" w:lineRule="auto"/>
              <w:rPr>
                <w:rFonts w:ascii="仿宋" w:hAnsi="仿宋" w:eastAsia="仿宋"/>
                <w:bCs/>
              </w:rPr>
            </w:pPr>
          </w:p>
        </w:tc>
        <w:tc>
          <w:tcPr>
            <w:tcW w:w="7067" w:type="dxa"/>
            <w:shd w:val="clear" w:color="auto" w:fill="auto"/>
            <w:vAlign w:val="center"/>
          </w:tcPr>
          <w:p w14:paraId="0E2A5049">
            <w:pPr>
              <w:spacing w:line="396" w:lineRule="auto"/>
              <w:rPr>
                <w:rFonts w:ascii="仿宋" w:hAnsi="仿宋" w:eastAsia="仿宋"/>
                <w:bCs/>
              </w:rPr>
            </w:pPr>
            <w:r>
              <w:rPr>
                <w:rFonts w:hint="eastAsia" w:ascii="仿宋" w:hAnsi="仿宋" w:eastAsia="仿宋"/>
                <w:bCs/>
              </w:rPr>
              <w:t>题型管理：支持医学类常见的1</w:t>
            </w:r>
            <w:r>
              <w:rPr>
                <w:rFonts w:ascii="仿宋" w:hAnsi="仿宋" w:eastAsia="仿宋"/>
                <w:bCs/>
              </w:rPr>
              <w:t>7</w:t>
            </w:r>
            <w:r>
              <w:rPr>
                <w:rFonts w:hint="eastAsia" w:ascii="仿宋" w:hAnsi="仿宋" w:eastAsia="仿宋"/>
                <w:bCs/>
              </w:rPr>
              <w:t>种题型，如配伍题、病案分析题、B型题等题型、语音题、视频题等特殊题型。</w:t>
            </w:r>
          </w:p>
        </w:tc>
      </w:tr>
      <w:tr w14:paraId="4122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709" w:type="dxa"/>
            <w:vMerge w:val="continue"/>
            <w:vAlign w:val="center"/>
          </w:tcPr>
          <w:p w14:paraId="00D1147C">
            <w:pPr>
              <w:spacing w:line="396" w:lineRule="auto"/>
              <w:rPr>
                <w:rFonts w:ascii="仿宋" w:hAnsi="仿宋" w:eastAsia="仿宋"/>
                <w:bCs/>
              </w:rPr>
            </w:pPr>
          </w:p>
        </w:tc>
        <w:tc>
          <w:tcPr>
            <w:tcW w:w="587" w:type="dxa"/>
            <w:vMerge w:val="continue"/>
            <w:shd w:val="clear" w:color="auto" w:fill="auto"/>
            <w:vAlign w:val="center"/>
          </w:tcPr>
          <w:p w14:paraId="700B9776">
            <w:pPr>
              <w:spacing w:line="396" w:lineRule="auto"/>
              <w:rPr>
                <w:rFonts w:ascii="仿宋" w:hAnsi="仿宋" w:eastAsia="仿宋"/>
                <w:bCs/>
              </w:rPr>
            </w:pPr>
          </w:p>
        </w:tc>
        <w:tc>
          <w:tcPr>
            <w:tcW w:w="7067" w:type="dxa"/>
            <w:shd w:val="clear" w:color="auto" w:fill="auto"/>
            <w:vAlign w:val="center"/>
          </w:tcPr>
          <w:p w14:paraId="07BE6F7A">
            <w:pPr>
              <w:spacing w:line="396" w:lineRule="auto"/>
              <w:rPr>
                <w:rFonts w:ascii="仿宋" w:hAnsi="仿宋" w:eastAsia="仿宋"/>
                <w:bCs/>
              </w:rPr>
            </w:pPr>
            <w:r>
              <w:rPr>
                <w:rFonts w:hint="eastAsia" w:ascii="仿宋" w:hAnsi="仿宋" w:eastAsia="仿宋"/>
                <w:bCs/>
              </w:rPr>
              <w:t>题库录入：按题目类型实现各种类型的题目逐题录入功能。（必需支持</w:t>
            </w:r>
            <w:r>
              <w:rPr>
                <w:rFonts w:ascii="仿宋" w:hAnsi="仿宋" w:eastAsia="仿宋"/>
                <w:bCs/>
              </w:rPr>
              <w:t>B</w:t>
            </w:r>
            <w:r>
              <w:rPr>
                <w:rFonts w:hint="eastAsia" w:ascii="仿宋" w:hAnsi="仿宋" w:eastAsia="仿宋"/>
                <w:bCs/>
              </w:rPr>
              <w:t>型题录入，非导入功能）</w:t>
            </w:r>
          </w:p>
          <w:p w14:paraId="2FC73FA9">
            <w:pPr>
              <w:spacing w:line="396" w:lineRule="auto"/>
              <w:rPr>
                <w:rFonts w:ascii="仿宋" w:hAnsi="仿宋" w:eastAsia="仿宋"/>
                <w:bCs/>
              </w:rPr>
            </w:pPr>
            <w:r>
              <w:rPr>
                <w:rFonts w:hint="eastAsia" w:ascii="仿宋" w:hAnsi="仿宋" w:eastAsia="仿宋"/>
                <w:bCs/>
              </w:rPr>
              <w:t>支持Word题库导入功能，且支持B型题、图片题等特殊题库的导入。</w:t>
            </w:r>
          </w:p>
          <w:p w14:paraId="09E213E9">
            <w:pPr>
              <w:spacing w:line="396" w:lineRule="auto"/>
              <w:rPr>
                <w:rFonts w:ascii="仿宋" w:hAnsi="仿宋" w:eastAsia="仿宋"/>
                <w:bCs/>
              </w:rPr>
            </w:pPr>
            <w:r>
              <w:rPr>
                <w:rFonts w:hint="eastAsia" w:ascii="仿宋" w:hAnsi="仿宋" w:eastAsia="仿宋"/>
                <w:bCs/>
              </w:rPr>
              <w:t>支持AI出题目功能，系统接入AI大模型，指定题目数量一键出题。</w:t>
            </w:r>
          </w:p>
        </w:tc>
      </w:tr>
      <w:tr w14:paraId="27EB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709" w:type="dxa"/>
            <w:vMerge w:val="continue"/>
            <w:vAlign w:val="center"/>
          </w:tcPr>
          <w:p w14:paraId="628DDCA0">
            <w:pPr>
              <w:spacing w:line="396" w:lineRule="auto"/>
              <w:rPr>
                <w:rFonts w:ascii="仿宋" w:hAnsi="仿宋" w:eastAsia="仿宋"/>
                <w:bCs/>
              </w:rPr>
            </w:pPr>
          </w:p>
        </w:tc>
        <w:tc>
          <w:tcPr>
            <w:tcW w:w="587" w:type="dxa"/>
            <w:shd w:val="clear" w:color="auto" w:fill="auto"/>
            <w:vAlign w:val="center"/>
          </w:tcPr>
          <w:p w14:paraId="7755C6B4">
            <w:pPr>
              <w:spacing w:line="396" w:lineRule="auto"/>
              <w:rPr>
                <w:rFonts w:ascii="仿宋" w:hAnsi="仿宋" w:eastAsia="仿宋"/>
                <w:bCs/>
              </w:rPr>
            </w:pPr>
            <w:r>
              <w:rPr>
                <w:rFonts w:hint="eastAsia" w:ascii="仿宋" w:hAnsi="仿宋" w:eastAsia="仿宋"/>
                <w:bCs/>
              </w:rPr>
              <w:t>题库类 目</w:t>
            </w:r>
          </w:p>
        </w:tc>
        <w:tc>
          <w:tcPr>
            <w:tcW w:w="7067" w:type="dxa"/>
            <w:shd w:val="clear" w:color="auto" w:fill="auto"/>
            <w:vAlign w:val="center"/>
          </w:tcPr>
          <w:p w14:paraId="30B4ECC4">
            <w:pPr>
              <w:spacing w:line="396" w:lineRule="auto"/>
              <w:rPr>
                <w:rFonts w:ascii="仿宋" w:hAnsi="仿宋" w:eastAsia="仿宋"/>
                <w:bCs/>
              </w:rPr>
            </w:pPr>
            <w:r>
              <w:rPr>
                <w:rFonts w:hint="eastAsia" w:ascii="仿宋" w:hAnsi="仿宋" w:eastAsia="仿宋"/>
                <w:bCs/>
              </w:rPr>
              <w:t>临床医学考试；三基考试（湖南版、东南版，含中医三基</w:t>
            </w:r>
            <w:r>
              <w:rPr>
                <w:rFonts w:hint="eastAsia" w:ascii="仿宋" w:hAnsi="仿宋" w:eastAsia="仿宋"/>
                <w:bCs/>
                <w:lang w:eastAsia="zh-CN"/>
              </w:rPr>
              <w:t>等</w:t>
            </w:r>
            <w:r>
              <w:rPr>
                <w:rFonts w:hint="eastAsia" w:ascii="仿宋" w:hAnsi="仿宋" w:eastAsia="仿宋"/>
                <w:bCs/>
              </w:rPr>
              <w:t>）；职称考试（执业资格考试，初、中、高级职称考试等）；临床护理考试；院内考试（总务管理、信息化科室、人事管理、住院医师规范化培训、新冠肺炎、院感、党史教育）等其它考试。总计试题量不低于1</w:t>
            </w:r>
            <w:r>
              <w:rPr>
                <w:rFonts w:ascii="仿宋" w:hAnsi="仿宋" w:eastAsia="仿宋"/>
                <w:bCs/>
              </w:rPr>
              <w:t>8</w:t>
            </w:r>
            <w:r>
              <w:rPr>
                <w:rFonts w:hint="eastAsia" w:ascii="仿宋" w:hAnsi="仿宋" w:eastAsia="仿宋"/>
                <w:bCs/>
              </w:rPr>
              <w:t>0万道，可满足医院不同科室、不同职称的考核学习。</w:t>
            </w:r>
          </w:p>
        </w:tc>
      </w:tr>
      <w:tr w14:paraId="0838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trPr>
        <w:tc>
          <w:tcPr>
            <w:tcW w:w="709" w:type="dxa"/>
            <w:vMerge w:val="continue"/>
            <w:vAlign w:val="center"/>
          </w:tcPr>
          <w:p w14:paraId="1E3C25AD">
            <w:pPr>
              <w:spacing w:line="396" w:lineRule="auto"/>
              <w:rPr>
                <w:rFonts w:ascii="仿宋" w:hAnsi="仿宋" w:eastAsia="仿宋"/>
                <w:bCs/>
              </w:rPr>
            </w:pPr>
          </w:p>
        </w:tc>
        <w:tc>
          <w:tcPr>
            <w:tcW w:w="587" w:type="dxa"/>
            <w:vMerge w:val="restart"/>
            <w:shd w:val="clear" w:color="auto" w:fill="auto"/>
            <w:vAlign w:val="center"/>
          </w:tcPr>
          <w:p w14:paraId="047E1F90">
            <w:pPr>
              <w:spacing w:line="396" w:lineRule="auto"/>
              <w:rPr>
                <w:rFonts w:ascii="仿宋" w:hAnsi="仿宋" w:eastAsia="仿宋"/>
                <w:bCs/>
              </w:rPr>
            </w:pPr>
            <w:r>
              <w:rPr>
                <w:rFonts w:hint="eastAsia" w:ascii="仿宋" w:hAnsi="仿宋" w:eastAsia="仿宋"/>
                <w:bCs/>
              </w:rPr>
              <w:t>学习中 心</w:t>
            </w:r>
          </w:p>
          <w:p w14:paraId="758D9640">
            <w:pPr>
              <w:spacing w:line="396" w:lineRule="auto"/>
              <w:rPr>
                <w:rFonts w:ascii="仿宋" w:hAnsi="仿宋" w:eastAsia="仿宋"/>
                <w:bCs/>
              </w:rPr>
            </w:pPr>
          </w:p>
        </w:tc>
        <w:tc>
          <w:tcPr>
            <w:tcW w:w="7067" w:type="dxa"/>
            <w:shd w:val="clear" w:color="auto" w:fill="auto"/>
            <w:vAlign w:val="center"/>
          </w:tcPr>
          <w:p w14:paraId="53CA0544">
            <w:pPr>
              <w:spacing w:line="396" w:lineRule="auto"/>
              <w:rPr>
                <w:rFonts w:ascii="仿宋" w:hAnsi="仿宋" w:eastAsia="仿宋"/>
                <w:bCs/>
              </w:rPr>
            </w:pPr>
            <w:r>
              <w:rPr>
                <w:rFonts w:hint="eastAsia" w:ascii="仿宋" w:hAnsi="仿宋" w:eastAsia="仿宋"/>
                <w:bCs/>
              </w:rPr>
              <w:t>课程学习：全体医护人员，可通过电脑、手机、微信公众号、I</w:t>
            </w:r>
            <w:r>
              <w:rPr>
                <w:rFonts w:ascii="仿宋" w:hAnsi="仿宋" w:eastAsia="仿宋"/>
                <w:bCs/>
              </w:rPr>
              <w:t>pad</w:t>
            </w:r>
            <w:r>
              <w:rPr>
                <w:rFonts w:hint="eastAsia" w:ascii="仿宋" w:hAnsi="仿宋" w:eastAsia="仿宋"/>
                <w:bCs/>
              </w:rPr>
              <w:t>、</w:t>
            </w:r>
            <w:r>
              <w:rPr>
                <w:rFonts w:ascii="仿宋" w:hAnsi="仿宋" w:eastAsia="仿宋"/>
                <w:bCs/>
              </w:rPr>
              <w:t>Pad</w:t>
            </w:r>
            <w:r>
              <w:rPr>
                <w:rFonts w:hint="eastAsia" w:ascii="仿宋" w:hAnsi="仿宋" w:eastAsia="仿宋"/>
                <w:bCs/>
              </w:rPr>
              <w:t>等相关可接入互联网的设备进行学习系统中全部多媒体资料；课程精选数百位权威专家的临床精粹、操作规范、管理经验等</w:t>
            </w:r>
            <w:r>
              <w:rPr>
                <w:rFonts w:ascii="仿宋" w:hAnsi="仿宋" w:eastAsia="仿宋"/>
                <w:bCs/>
              </w:rPr>
              <w:t>2</w:t>
            </w:r>
            <w:r>
              <w:rPr>
                <w:rFonts w:hint="eastAsia" w:ascii="仿宋" w:hAnsi="仿宋" w:eastAsia="仿宋"/>
                <w:bCs/>
              </w:rPr>
              <w:t>000多个视频、P</w:t>
            </w:r>
            <w:r>
              <w:rPr>
                <w:rFonts w:ascii="仿宋" w:hAnsi="仿宋" w:eastAsia="仿宋"/>
                <w:bCs/>
              </w:rPr>
              <w:t>DF</w:t>
            </w:r>
            <w:r>
              <w:rPr>
                <w:rFonts w:hint="eastAsia" w:ascii="仿宋" w:hAnsi="仿宋" w:eastAsia="仿宋"/>
                <w:bCs/>
              </w:rPr>
              <w:t>等资料，分为内、外、妇、儿、专科、护理、医师、医院管理等。</w:t>
            </w:r>
          </w:p>
        </w:tc>
      </w:tr>
      <w:tr w14:paraId="5063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trPr>
        <w:tc>
          <w:tcPr>
            <w:tcW w:w="709" w:type="dxa"/>
            <w:vMerge w:val="continue"/>
            <w:vAlign w:val="center"/>
          </w:tcPr>
          <w:p w14:paraId="0B7B9071">
            <w:pPr>
              <w:spacing w:line="396" w:lineRule="auto"/>
              <w:rPr>
                <w:rFonts w:ascii="仿宋" w:hAnsi="仿宋" w:eastAsia="仿宋"/>
                <w:bCs/>
              </w:rPr>
            </w:pPr>
          </w:p>
        </w:tc>
        <w:tc>
          <w:tcPr>
            <w:tcW w:w="587" w:type="dxa"/>
            <w:vMerge w:val="continue"/>
            <w:shd w:val="clear" w:color="auto" w:fill="auto"/>
            <w:vAlign w:val="center"/>
          </w:tcPr>
          <w:p w14:paraId="1E6104F6">
            <w:pPr>
              <w:spacing w:line="396" w:lineRule="auto"/>
              <w:rPr>
                <w:rFonts w:ascii="仿宋" w:hAnsi="仿宋" w:eastAsia="仿宋"/>
                <w:bCs/>
              </w:rPr>
            </w:pPr>
          </w:p>
        </w:tc>
        <w:tc>
          <w:tcPr>
            <w:tcW w:w="7067" w:type="dxa"/>
            <w:shd w:val="clear" w:color="auto" w:fill="auto"/>
            <w:vAlign w:val="center"/>
          </w:tcPr>
          <w:p w14:paraId="0B0816E7">
            <w:pPr>
              <w:spacing w:line="396" w:lineRule="auto"/>
              <w:rPr>
                <w:rFonts w:ascii="仿宋" w:hAnsi="仿宋" w:eastAsia="仿宋"/>
                <w:bCs/>
              </w:rPr>
            </w:pPr>
            <w:r>
              <w:rPr>
                <w:rFonts w:hint="eastAsia" w:ascii="仿宋" w:hAnsi="仿宋" w:eastAsia="仿宋"/>
                <w:bCs/>
              </w:rPr>
              <w:t>课程管理：医疗机构可自行上传本院相关多媒体资料供全院医护人员学习。系统支持视频、P</w:t>
            </w:r>
            <w:r>
              <w:rPr>
                <w:rFonts w:ascii="仿宋" w:hAnsi="仿宋" w:eastAsia="仿宋"/>
                <w:bCs/>
              </w:rPr>
              <w:t>PT</w:t>
            </w:r>
            <w:r>
              <w:rPr>
                <w:rFonts w:hint="eastAsia" w:ascii="仿宋" w:hAnsi="仿宋" w:eastAsia="仿宋"/>
                <w:bCs/>
              </w:rPr>
              <w:t>、W</w:t>
            </w:r>
            <w:r>
              <w:rPr>
                <w:rFonts w:ascii="仿宋" w:hAnsi="仿宋" w:eastAsia="仿宋"/>
                <w:bCs/>
              </w:rPr>
              <w:t>ORD</w:t>
            </w:r>
            <w:r>
              <w:rPr>
                <w:rFonts w:hint="eastAsia" w:ascii="仿宋" w:hAnsi="仿宋" w:eastAsia="仿宋"/>
                <w:bCs/>
              </w:rPr>
              <w:t>、P</w:t>
            </w:r>
            <w:r>
              <w:rPr>
                <w:rFonts w:ascii="仿宋" w:hAnsi="仿宋" w:eastAsia="仿宋"/>
                <w:bCs/>
              </w:rPr>
              <w:t>DF</w:t>
            </w:r>
            <w:r>
              <w:rPr>
                <w:rFonts w:hint="eastAsia" w:ascii="仿宋" w:hAnsi="仿宋" w:eastAsia="仿宋"/>
                <w:bCs/>
              </w:rPr>
              <w:t>、图文等多格式。</w:t>
            </w:r>
          </w:p>
        </w:tc>
      </w:tr>
      <w:tr w14:paraId="426C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trPr>
        <w:tc>
          <w:tcPr>
            <w:tcW w:w="709" w:type="dxa"/>
            <w:vMerge w:val="continue"/>
            <w:vAlign w:val="center"/>
          </w:tcPr>
          <w:p w14:paraId="1025821F">
            <w:pPr>
              <w:spacing w:line="396" w:lineRule="auto"/>
              <w:rPr>
                <w:rFonts w:ascii="仿宋" w:hAnsi="仿宋" w:eastAsia="仿宋"/>
                <w:bCs/>
              </w:rPr>
            </w:pPr>
          </w:p>
        </w:tc>
        <w:tc>
          <w:tcPr>
            <w:tcW w:w="587" w:type="dxa"/>
            <w:vMerge w:val="continue"/>
            <w:shd w:val="clear" w:color="auto" w:fill="auto"/>
            <w:vAlign w:val="center"/>
          </w:tcPr>
          <w:p w14:paraId="09FD94B0">
            <w:pPr>
              <w:spacing w:line="396" w:lineRule="auto"/>
              <w:rPr>
                <w:rFonts w:ascii="仿宋" w:hAnsi="仿宋" w:eastAsia="仿宋"/>
                <w:bCs/>
              </w:rPr>
            </w:pPr>
          </w:p>
        </w:tc>
        <w:tc>
          <w:tcPr>
            <w:tcW w:w="7067" w:type="dxa"/>
            <w:shd w:val="clear" w:color="auto" w:fill="auto"/>
            <w:vAlign w:val="center"/>
          </w:tcPr>
          <w:p w14:paraId="603DEAF8">
            <w:pPr>
              <w:spacing w:line="396" w:lineRule="auto"/>
              <w:rPr>
                <w:rFonts w:ascii="仿宋" w:hAnsi="仿宋" w:eastAsia="仿宋"/>
                <w:bCs/>
              </w:rPr>
            </w:pPr>
            <w:r>
              <w:rPr>
                <w:rFonts w:hint="eastAsia" w:ascii="仿宋" w:hAnsi="仿宋" w:eastAsia="仿宋"/>
                <w:bCs/>
              </w:rPr>
              <w:t>课程复制：支持一键将公共课程为复制为单位课程，作为单位课程进行管理。</w:t>
            </w:r>
          </w:p>
        </w:tc>
      </w:tr>
      <w:tr w14:paraId="051C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trPr>
        <w:tc>
          <w:tcPr>
            <w:tcW w:w="709" w:type="dxa"/>
            <w:vMerge w:val="continue"/>
            <w:vAlign w:val="center"/>
          </w:tcPr>
          <w:p w14:paraId="464BE690">
            <w:pPr>
              <w:spacing w:line="396" w:lineRule="auto"/>
              <w:rPr>
                <w:rFonts w:ascii="仿宋" w:hAnsi="仿宋" w:eastAsia="仿宋"/>
                <w:bCs/>
              </w:rPr>
            </w:pPr>
          </w:p>
        </w:tc>
        <w:tc>
          <w:tcPr>
            <w:tcW w:w="587" w:type="dxa"/>
            <w:vMerge w:val="continue"/>
            <w:shd w:val="clear" w:color="auto" w:fill="auto"/>
            <w:vAlign w:val="center"/>
          </w:tcPr>
          <w:p w14:paraId="68D90597">
            <w:pPr>
              <w:spacing w:line="396" w:lineRule="auto"/>
              <w:rPr>
                <w:rFonts w:ascii="仿宋" w:hAnsi="仿宋" w:eastAsia="仿宋"/>
                <w:bCs/>
              </w:rPr>
            </w:pPr>
          </w:p>
        </w:tc>
        <w:tc>
          <w:tcPr>
            <w:tcW w:w="7067" w:type="dxa"/>
            <w:shd w:val="clear" w:color="auto" w:fill="auto"/>
            <w:vAlign w:val="center"/>
          </w:tcPr>
          <w:p w14:paraId="68B8658B">
            <w:pPr>
              <w:spacing w:line="396" w:lineRule="auto"/>
              <w:rPr>
                <w:rFonts w:ascii="仿宋" w:hAnsi="仿宋" w:eastAsia="仿宋"/>
                <w:bCs/>
              </w:rPr>
            </w:pPr>
            <w:r>
              <w:rPr>
                <w:rFonts w:hint="eastAsia" w:ascii="仿宋" w:hAnsi="仿宋" w:eastAsia="仿宋"/>
                <w:bCs/>
              </w:rPr>
              <w:t>习题管理：支持用户自己上传的课程自行录入或从题库中选择配套的练习题目。</w:t>
            </w:r>
          </w:p>
        </w:tc>
      </w:tr>
      <w:tr w14:paraId="5E5C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trPr>
        <w:tc>
          <w:tcPr>
            <w:tcW w:w="709" w:type="dxa"/>
            <w:vMerge w:val="continue"/>
            <w:vAlign w:val="center"/>
          </w:tcPr>
          <w:p w14:paraId="2F1D19E9">
            <w:pPr>
              <w:spacing w:line="396" w:lineRule="auto"/>
              <w:rPr>
                <w:rFonts w:ascii="仿宋" w:hAnsi="仿宋" w:eastAsia="仿宋"/>
                <w:bCs/>
              </w:rPr>
            </w:pPr>
          </w:p>
        </w:tc>
        <w:tc>
          <w:tcPr>
            <w:tcW w:w="587" w:type="dxa"/>
            <w:vMerge w:val="continue"/>
            <w:shd w:val="clear" w:color="auto" w:fill="auto"/>
            <w:vAlign w:val="center"/>
          </w:tcPr>
          <w:p w14:paraId="0A77DC09">
            <w:pPr>
              <w:spacing w:line="396" w:lineRule="auto"/>
              <w:rPr>
                <w:rFonts w:ascii="仿宋" w:hAnsi="仿宋" w:eastAsia="仿宋"/>
                <w:bCs/>
              </w:rPr>
            </w:pPr>
          </w:p>
        </w:tc>
        <w:tc>
          <w:tcPr>
            <w:tcW w:w="7067" w:type="dxa"/>
            <w:shd w:val="clear" w:color="auto" w:fill="auto"/>
            <w:vAlign w:val="center"/>
          </w:tcPr>
          <w:p w14:paraId="3340F753">
            <w:pPr>
              <w:spacing w:line="396" w:lineRule="auto"/>
              <w:rPr>
                <w:rFonts w:ascii="仿宋" w:hAnsi="仿宋" w:eastAsia="仿宋"/>
                <w:bCs/>
              </w:rPr>
            </w:pPr>
            <w:r>
              <w:rPr>
                <w:rFonts w:hint="eastAsia" w:ascii="仿宋" w:hAnsi="仿宋" w:eastAsia="仿宋"/>
                <w:bCs/>
              </w:rPr>
              <w:t>进度管理：管理人员可实时在后台查看本院全体医护人员的学习进度；所有学习过的程课可获得系统学分，供管理科室进行考核。所有数据均可导出E</w:t>
            </w:r>
            <w:r>
              <w:rPr>
                <w:rFonts w:ascii="仿宋" w:hAnsi="仿宋" w:eastAsia="仿宋"/>
                <w:bCs/>
              </w:rPr>
              <w:t>xcel</w:t>
            </w:r>
            <w:r>
              <w:rPr>
                <w:rFonts w:hint="eastAsia" w:ascii="仿宋" w:hAnsi="仿宋" w:eastAsia="仿宋"/>
                <w:bCs/>
              </w:rPr>
              <w:t>文件。</w:t>
            </w:r>
          </w:p>
        </w:tc>
      </w:tr>
      <w:tr w14:paraId="3869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trPr>
        <w:tc>
          <w:tcPr>
            <w:tcW w:w="709" w:type="dxa"/>
            <w:vMerge w:val="continue"/>
            <w:vAlign w:val="center"/>
          </w:tcPr>
          <w:p w14:paraId="2DC401EB">
            <w:pPr>
              <w:spacing w:line="396" w:lineRule="auto"/>
              <w:rPr>
                <w:rFonts w:ascii="仿宋" w:hAnsi="仿宋" w:eastAsia="仿宋"/>
                <w:bCs/>
              </w:rPr>
            </w:pPr>
          </w:p>
        </w:tc>
        <w:tc>
          <w:tcPr>
            <w:tcW w:w="587" w:type="dxa"/>
            <w:vMerge w:val="continue"/>
            <w:shd w:val="clear" w:color="auto" w:fill="auto"/>
            <w:vAlign w:val="center"/>
          </w:tcPr>
          <w:p w14:paraId="538A5B7A">
            <w:pPr>
              <w:spacing w:line="396" w:lineRule="auto"/>
              <w:rPr>
                <w:rFonts w:ascii="仿宋" w:hAnsi="仿宋" w:eastAsia="仿宋"/>
                <w:bCs/>
              </w:rPr>
            </w:pPr>
          </w:p>
        </w:tc>
        <w:tc>
          <w:tcPr>
            <w:tcW w:w="7067" w:type="dxa"/>
            <w:shd w:val="clear" w:color="auto" w:fill="auto"/>
            <w:vAlign w:val="center"/>
          </w:tcPr>
          <w:p w14:paraId="7DE43F9E">
            <w:pPr>
              <w:spacing w:line="396" w:lineRule="auto"/>
              <w:rPr>
                <w:rFonts w:ascii="仿宋" w:hAnsi="仿宋" w:eastAsia="仿宋"/>
                <w:bCs/>
              </w:rPr>
            </w:pPr>
            <w:r>
              <w:rPr>
                <w:rFonts w:hint="eastAsia" w:ascii="仿宋" w:hAnsi="仿宋" w:eastAsia="仿宋"/>
                <w:bCs/>
              </w:rPr>
              <w:t>防作弊：首次学习禁止拖动，随机弹出无人检测验证码。支持考试关联，学习完成后即可一键进入考试环节进行考试。</w:t>
            </w:r>
          </w:p>
        </w:tc>
      </w:tr>
      <w:tr w14:paraId="68FA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6" w:hRule="atLeast"/>
        </w:trPr>
        <w:tc>
          <w:tcPr>
            <w:tcW w:w="709" w:type="dxa"/>
            <w:vMerge w:val="continue"/>
            <w:vAlign w:val="center"/>
          </w:tcPr>
          <w:p w14:paraId="43F7400A">
            <w:pPr>
              <w:spacing w:line="396" w:lineRule="auto"/>
              <w:rPr>
                <w:rFonts w:ascii="仿宋" w:hAnsi="仿宋" w:eastAsia="仿宋"/>
                <w:bCs/>
              </w:rPr>
            </w:pPr>
          </w:p>
        </w:tc>
        <w:tc>
          <w:tcPr>
            <w:tcW w:w="587" w:type="dxa"/>
            <w:vMerge w:val="continue"/>
            <w:shd w:val="clear" w:color="auto" w:fill="auto"/>
            <w:vAlign w:val="center"/>
          </w:tcPr>
          <w:p w14:paraId="7F609067">
            <w:pPr>
              <w:spacing w:line="396" w:lineRule="auto"/>
              <w:rPr>
                <w:rFonts w:ascii="仿宋" w:hAnsi="仿宋" w:eastAsia="仿宋"/>
                <w:bCs/>
              </w:rPr>
            </w:pPr>
          </w:p>
        </w:tc>
        <w:tc>
          <w:tcPr>
            <w:tcW w:w="7067" w:type="dxa"/>
            <w:shd w:val="clear" w:color="auto" w:fill="auto"/>
            <w:vAlign w:val="center"/>
          </w:tcPr>
          <w:p w14:paraId="3690B847">
            <w:pPr>
              <w:spacing w:line="396" w:lineRule="auto"/>
              <w:rPr>
                <w:rFonts w:ascii="仿宋" w:hAnsi="仿宋" w:eastAsia="仿宋"/>
                <w:bCs/>
              </w:rPr>
            </w:pPr>
            <w:r>
              <w:rPr>
                <w:rFonts w:hint="eastAsia" w:ascii="仿宋" w:hAnsi="仿宋" w:eastAsia="仿宋"/>
                <w:bCs/>
              </w:rPr>
              <w:t>学分统计：系统可统计学员在本平台上考试或者学习获取的全部学分，并可进行分类统计，导出所有学分明细记录，作为管理人员考核医护人员的相关依据资料。</w:t>
            </w:r>
          </w:p>
        </w:tc>
      </w:tr>
      <w:tr w14:paraId="07B6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 w:hRule="atLeast"/>
        </w:trPr>
        <w:tc>
          <w:tcPr>
            <w:tcW w:w="709" w:type="dxa"/>
            <w:vMerge w:val="continue"/>
            <w:vAlign w:val="center"/>
          </w:tcPr>
          <w:p w14:paraId="66A2BA4C">
            <w:pPr>
              <w:spacing w:line="396" w:lineRule="auto"/>
              <w:rPr>
                <w:rFonts w:ascii="仿宋" w:hAnsi="仿宋" w:eastAsia="仿宋"/>
                <w:bCs/>
              </w:rPr>
            </w:pPr>
          </w:p>
        </w:tc>
        <w:tc>
          <w:tcPr>
            <w:tcW w:w="587" w:type="dxa"/>
            <w:shd w:val="clear" w:color="auto" w:fill="auto"/>
            <w:vAlign w:val="center"/>
          </w:tcPr>
          <w:p w14:paraId="0BD1E7BB">
            <w:pPr>
              <w:spacing w:line="396" w:lineRule="auto"/>
              <w:rPr>
                <w:rFonts w:ascii="仿宋" w:hAnsi="仿宋" w:eastAsia="仿宋"/>
                <w:bCs/>
              </w:rPr>
            </w:pPr>
            <w:r>
              <w:rPr>
                <w:rFonts w:hint="eastAsia" w:ascii="仿宋" w:hAnsi="仿宋" w:eastAsia="仿宋"/>
                <w:bCs/>
              </w:rPr>
              <w:t>签到中 心</w:t>
            </w:r>
          </w:p>
        </w:tc>
        <w:tc>
          <w:tcPr>
            <w:tcW w:w="7067" w:type="dxa"/>
            <w:shd w:val="clear" w:color="auto" w:fill="auto"/>
            <w:vAlign w:val="center"/>
          </w:tcPr>
          <w:p w14:paraId="0EB3968D">
            <w:pPr>
              <w:spacing w:line="396" w:lineRule="auto"/>
              <w:rPr>
                <w:rFonts w:ascii="仿宋" w:hAnsi="仿宋" w:eastAsia="仿宋"/>
                <w:bCs/>
              </w:rPr>
            </w:pPr>
            <w:r>
              <w:rPr>
                <w:rFonts w:hint="eastAsia" w:ascii="仿宋" w:hAnsi="仿宋" w:eastAsia="仿宋"/>
                <w:bCs/>
              </w:rPr>
              <w:t>系统支持会议签到、考试签到、培训签到及其它签到</w:t>
            </w:r>
            <w:r>
              <w:rPr>
                <w:rFonts w:hint="eastAsia" w:ascii="仿宋" w:hAnsi="仿宋" w:eastAsia="仿宋"/>
                <w:bCs/>
                <w:lang w:eastAsia="zh-CN"/>
              </w:rPr>
              <w:t>多</w:t>
            </w:r>
            <w:r>
              <w:rPr>
                <w:rFonts w:hint="eastAsia" w:ascii="仿宋" w:hAnsi="仿宋" w:eastAsia="仿宋"/>
                <w:bCs/>
              </w:rPr>
              <w:t>种模式;</w:t>
            </w:r>
          </w:p>
          <w:p w14:paraId="1AA359BF">
            <w:pPr>
              <w:spacing w:line="396" w:lineRule="auto"/>
              <w:rPr>
                <w:rFonts w:ascii="仿宋" w:hAnsi="仿宋" w:eastAsia="仿宋"/>
                <w:bCs/>
              </w:rPr>
            </w:pPr>
            <w:r>
              <w:rPr>
                <w:rFonts w:hint="eastAsia" w:ascii="仿宋" w:hAnsi="仿宋" w:eastAsia="仿宋"/>
                <w:bCs/>
              </w:rPr>
              <w:t>用户只需创建签到任务，便可以用微信扫描二维码进行签到。二维码采用静态和动态两种签到模式，用户只需通过微信扫描专属二维码</w:t>
            </w:r>
            <w:r>
              <w:rPr>
                <w:rFonts w:ascii="仿宋" w:hAnsi="仿宋" w:eastAsia="仿宋"/>
                <w:bCs/>
              </w:rPr>
              <w:t>,</w:t>
            </w:r>
            <w:r>
              <w:rPr>
                <w:rFonts w:hint="eastAsia" w:ascii="仿宋" w:hAnsi="仿宋" w:eastAsia="仿宋"/>
                <w:bCs/>
              </w:rPr>
              <w:t>即可完成签到与签退操作</w:t>
            </w:r>
            <w:r>
              <w:rPr>
                <w:rFonts w:ascii="仿宋" w:hAnsi="仿宋" w:eastAsia="仿宋"/>
                <w:bCs/>
              </w:rPr>
              <w:t>,</w:t>
            </w:r>
            <w:r>
              <w:rPr>
                <w:rFonts w:hint="eastAsia" w:ascii="仿宋" w:hAnsi="仿宋" w:eastAsia="仿宋"/>
                <w:bCs/>
              </w:rPr>
              <w:t>大大提升了签到效率</w:t>
            </w:r>
            <w:r>
              <w:rPr>
                <w:rFonts w:ascii="仿宋" w:hAnsi="仿宋" w:eastAsia="仿宋"/>
                <w:bCs/>
              </w:rPr>
              <w:t>,</w:t>
            </w:r>
            <w:r>
              <w:rPr>
                <w:rFonts w:hint="eastAsia" w:ascii="仿宋" w:hAnsi="仿宋" w:eastAsia="仿宋"/>
                <w:bCs/>
              </w:rPr>
              <w:t>同时减少了排队等待时间。有效防止签到作弊。系统支持签到和签退两种方式，防止有人中途退场，并将签到数据永久保存在服务器中或导出Ex</w:t>
            </w:r>
            <w:r>
              <w:rPr>
                <w:rFonts w:ascii="仿宋" w:hAnsi="仿宋" w:eastAsia="仿宋"/>
                <w:bCs/>
              </w:rPr>
              <w:t>cel</w:t>
            </w:r>
            <w:r>
              <w:rPr>
                <w:rFonts w:hint="eastAsia" w:ascii="仿宋" w:hAnsi="仿宋" w:eastAsia="仿宋"/>
                <w:bCs/>
              </w:rPr>
              <w:t>中。</w:t>
            </w:r>
          </w:p>
        </w:tc>
      </w:tr>
      <w:tr w14:paraId="3581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59" w:hRule="atLeast"/>
        </w:trPr>
        <w:tc>
          <w:tcPr>
            <w:tcW w:w="709" w:type="dxa"/>
            <w:vMerge w:val="continue"/>
            <w:vAlign w:val="center"/>
          </w:tcPr>
          <w:p w14:paraId="04868425">
            <w:pPr>
              <w:spacing w:line="396" w:lineRule="auto"/>
              <w:rPr>
                <w:rFonts w:ascii="仿宋" w:hAnsi="仿宋" w:eastAsia="仿宋"/>
                <w:bCs/>
              </w:rPr>
            </w:pPr>
          </w:p>
        </w:tc>
        <w:tc>
          <w:tcPr>
            <w:tcW w:w="587" w:type="dxa"/>
            <w:shd w:val="clear" w:color="auto" w:fill="auto"/>
            <w:vAlign w:val="center"/>
          </w:tcPr>
          <w:p w14:paraId="37882428">
            <w:pPr>
              <w:spacing w:line="396" w:lineRule="auto"/>
              <w:rPr>
                <w:rFonts w:ascii="仿宋" w:hAnsi="仿宋" w:eastAsia="仿宋"/>
                <w:bCs/>
              </w:rPr>
            </w:pPr>
            <w:r>
              <w:rPr>
                <w:rFonts w:hint="eastAsia" w:ascii="仿宋" w:hAnsi="仿宋" w:eastAsia="仿宋"/>
                <w:bCs/>
              </w:rPr>
              <w:t>疾病数据库</w:t>
            </w:r>
          </w:p>
        </w:tc>
        <w:tc>
          <w:tcPr>
            <w:tcW w:w="7067" w:type="dxa"/>
            <w:shd w:val="clear" w:color="auto" w:fill="auto"/>
            <w:vAlign w:val="center"/>
          </w:tcPr>
          <w:p w14:paraId="7CDFEC84">
            <w:pPr>
              <w:spacing w:line="396" w:lineRule="auto"/>
              <w:rPr>
                <w:rFonts w:ascii="仿宋" w:hAnsi="仿宋" w:eastAsia="仿宋"/>
                <w:bCs/>
              </w:rPr>
            </w:pPr>
            <w:r>
              <w:rPr>
                <w:rFonts w:hint="eastAsia" w:ascii="仿宋" w:hAnsi="仿宋" w:eastAsia="仿宋"/>
                <w:bCs/>
              </w:rPr>
              <w:t>疾病数据库包含多种常见疾病，分为内科、外科、妇产科、儿科、皮肤性病科、感染科、眼科、急诊科、口腔科、肿痛科、骨科、耳鼻喉头颈外科、内分泌科、神经内科、血液科、肾内科、肝胆内科等</w:t>
            </w:r>
            <w:r>
              <w:rPr>
                <w:rFonts w:hint="eastAsia" w:ascii="仿宋" w:hAnsi="仿宋" w:eastAsia="仿宋"/>
                <w:bCs/>
                <w:lang w:eastAsia="zh-CN"/>
              </w:rPr>
              <w:t>≥</w:t>
            </w:r>
            <w:r>
              <w:rPr>
                <w:rFonts w:hint="eastAsia" w:ascii="仿宋" w:hAnsi="仿宋" w:eastAsia="仿宋"/>
                <w:bCs/>
              </w:rPr>
              <w:t>27个科目的最新疾病数据。可手机A</w:t>
            </w:r>
            <w:r>
              <w:rPr>
                <w:rFonts w:ascii="仿宋" w:hAnsi="仿宋" w:eastAsia="仿宋"/>
                <w:bCs/>
              </w:rPr>
              <w:t>PP</w:t>
            </w:r>
            <w:r>
              <w:rPr>
                <w:rFonts w:hint="eastAsia" w:ascii="仿宋" w:hAnsi="仿宋" w:eastAsia="仿宋"/>
                <w:bCs/>
              </w:rPr>
              <w:t>或微信公众号随时查询。</w:t>
            </w:r>
          </w:p>
        </w:tc>
      </w:tr>
      <w:tr w14:paraId="429E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59" w:hRule="atLeast"/>
        </w:trPr>
        <w:tc>
          <w:tcPr>
            <w:tcW w:w="709" w:type="dxa"/>
            <w:vMerge w:val="continue"/>
            <w:vAlign w:val="center"/>
          </w:tcPr>
          <w:p w14:paraId="45951A3F">
            <w:pPr>
              <w:spacing w:line="396" w:lineRule="auto"/>
              <w:rPr>
                <w:rFonts w:ascii="仿宋" w:hAnsi="仿宋" w:eastAsia="仿宋"/>
                <w:bCs/>
              </w:rPr>
            </w:pPr>
          </w:p>
        </w:tc>
        <w:tc>
          <w:tcPr>
            <w:tcW w:w="587" w:type="dxa"/>
            <w:vMerge w:val="restart"/>
            <w:shd w:val="clear" w:color="auto" w:fill="auto"/>
            <w:vAlign w:val="center"/>
          </w:tcPr>
          <w:p w14:paraId="041CB1DD">
            <w:pPr>
              <w:spacing w:line="396" w:lineRule="auto"/>
              <w:rPr>
                <w:rFonts w:ascii="仿宋" w:hAnsi="仿宋" w:eastAsia="仿宋"/>
                <w:bCs/>
              </w:rPr>
            </w:pPr>
            <w:r>
              <w:rPr>
                <w:rFonts w:hint="eastAsia" w:ascii="仿宋" w:hAnsi="仿宋" w:eastAsia="仿宋"/>
                <w:bCs/>
              </w:rPr>
              <w:t>护理宣 教</w:t>
            </w:r>
          </w:p>
        </w:tc>
        <w:tc>
          <w:tcPr>
            <w:tcW w:w="7067" w:type="dxa"/>
            <w:shd w:val="clear" w:color="auto" w:fill="auto"/>
            <w:vAlign w:val="center"/>
          </w:tcPr>
          <w:p w14:paraId="5BE02FFE">
            <w:pPr>
              <w:spacing w:line="396" w:lineRule="auto"/>
              <w:rPr>
                <w:rFonts w:ascii="仿宋" w:hAnsi="仿宋" w:eastAsia="仿宋"/>
                <w:bCs/>
              </w:rPr>
            </w:pPr>
            <w:r>
              <w:rPr>
                <w:rFonts w:hint="eastAsia" w:ascii="仿宋" w:hAnsi="仿宋" w:eastAsia="仿宋"/>
                <w:bCs/>
              </w:rPr>
              <w:t>科室管理人员，可在平台内上传或分享任意多媒体及图文宣教文件到平台中，系统可供院内全部护理人员实时将平台上共享的学习资料通过二维码分享给患者（需支持手机端直接分享），完成护理宣教，同时可提高护理人员宣教水平。</w:t>
            </w:r>
          </w:p>
        </w:tc>
      </w:tr>
      <w:tr w14:paraId="79D9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2" w:hRule="atLeast"/>
        </w:trPr>
        <w:tc>
          <w:tcPr>
            <w:tcW w:w="709" w:type="dxa"/>
            <w:vMerge w:val="continue"/>
            <w:vAlign w:val="center"/>
          </w:tcPr>
          <w:p w14:paraId="4542CDD5">
            <w:pPr>
              <w:spacing w:line="396" w:lineRule="auto"/>
              <w:rPr>
                <w:rFonts w:ascii="仿宋" w:hAnsi="仿宋" w:eastAsia="仿宋"/>
                <w:bCs/>
              </w:rPr>
            </w:pPr>
          </w:p>
        </w:tc>
        <w:tc>
          <w:tcPr>
            <w:tcW w:w="587" w:type="dxa"/>
            <w:vMerge w:val="continue"/>
            <w:shd w:val="clear" w:color="auto" w:fill="auto"/>
            <w:vAlign w:val="center"/>
          </w:tcPr>
          <w:p w14:paraId="2EDF3C0C">
            <w:pPr>
              <w:spacing w:line="396" w:lineRule="auto"/>
              <w:rPr>
                <w:rFonts w:ascii="仿宋" w:hAnsi="仿宋" w:eastAsia="仿宋"/>
                <w:bCs/>
              </w:rPr>
            </w:pPr>
          </w:p>
        </w:tc>
        <w:tc>
          <w:tcPr>
            <w:tcW w:w="7067" w:type="dxa"/>
            <w:shd w:val="clear" w:color="auto" w:fill="auto"/>
            <w:vAlign w:val="center"/>
          </w:tcPr>
          <w:p w14:paraId="450F5FC4">
            <w:pPr>
              <w:spacing w:line="396" w:lineRule="auto"/>
              <w:rPr>
                <w:rFonts w:ascii="仿宋" w:hAnsi="仿宋" w:eastAsia="仿宋"/>
                <w:bCs/>
              </w:rPr>
            </w:pPr>
            <w:r>
              <w:rPr>
                <w:rFonts w:hint="eastAsia" w:ascii="仿宋" w:hAnsi="仿宋" w:eastAsia="仿宋"/>
                <w:bCs/>
              </w:rPr>
              <w:t>支持发布分享与不分享，且可指定分享范围；支持分享统计，按分享人员统计分享次数及浏览明细记录，且支持记录导出到e</w:t>
            </w:r>
            <w:r>
              <w:rPr>
                <w:rFonts w:ascii="仿宋" w:hAnsi="仿宋" w:eastAsia="仿宋"/>
                <w:bCs/>
              </w:rPr>
              <w:t>xcel</w:t>
            </w:r>
            <w:r>
              <w:rPr>
                <w:rFonts w:hint="eastAsia" w:ascii="仿宋" w:hAnsi="仿宋" w:eastAsia="仿宋"/>
                <w:bCs/>
              </w:rPr>
              <w:t>。</w:t>
            </w:r>
          </w:p>
        </w:tc>
      </w:tr>
      <w:tr w14:paraId="2CF9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59" w:hRule="atLeast"/>
        </w:trPr>
        <w:tc>
          <w:tcPr>
            <w:tcW w:w="709" w:type="dxa"/>
            <w:vMerge w:val="continue"/>
            <w:vAlign w:val="center"/>
          </w:tcPr>
          <w:p w14:paraId="31A81CD1">
            <w:pPr>
              <w:spacing w:line="396" w:lineRule="auto"/>
              <w:rPr>
                <w:rFonts w:ascii="仿宋" w:hAnsi="仿宋" w:eastAsia="仿宋"/>
                <w:bCs/>
              </w:rPr>
            </w:pPr>
          </w:p>
        </w:tc>
        <w:tc>
          <w:tcPr>
            <w:tcW w:w="587" w:type="dxa"/>
            <w:vMerge w:val="continue"/>
            <w:shd w:val="clear" w:color="auto" w:fill="auto"/>
            <w:vAlign w:val="center"/>
          </w:tcPr>
          <w:p w14:paraId="19663CCB">
            <w:pPr>
              <w:spacing w:line="396" w:lineRule="auto"/>
              <w:rPr>
                <w:rFonts w:ascii="仿宋" w:hAnsi="仿宋" w:eastAsia="仿宋"/>
                <w:bCs/>
              </w:rPr>
            </w:pPr>
          </w:p>
        </w:tc>
        <w:tc>
          <w:tcPr>
            <w:tcW w:w="7067" w:type="dxa"/>
            <w:shd w:val="clear" w:color="auto" w:fill="auto"/>
            <w:vAlign w:val="center"/>
          </w:tcPr>
          <w:p w14:paraId="0236FA70">
            <w:pPr>
              <w:spacing w:line="396" w:lineRule="auto"/>
              <w:rPr>
                <w:rFonts w:ascii="仿宋" w:hAnsi="仿宋" w:eastAsia="仿宋"/>
                <w:bCs/>
              </w:rPr>
            </w:pPr>
            <w:r>
              <w:rPr>
                <w:rFonts w:hint="eastAsia" w:ascii="仿宋" w:hAnsi="仿宋" w:eastAsia="仿宋"/>
                <w:bCs/>
              </w:rPr>
              <w:t>内置</w:t>
            </w:r>
            <w:r>
              <w:rPr>
                <w:rFonts w:hint="eastAsia" w:ascii="仿宋" w:hAnsi="仿宋" w:eastAsia="仿宋"/>
                <w:bCs/>
                <w:lang w:eastAsia="zh-CN"/>
              </w:rPr>
              <w:t>≥</w:t>
            </w:r>
            <w:r>
              <w:rPr>
                <w:rFonts w:hint="eastAsia" w:ascii="仿宋" w:hAnsi="仿宋" w:eastAsia="仿宋"/>
                <w:bCs/>
              </w:rPr>
              <w:t>2</w:t>
            </w:r>
            <w:r>
              <w:rPr>
                <w:rFonts w:ascii="仿宋" w:hAnsi="仿宋" w:eastAsia="仿宋"/>
                <w:bCs/>
              </w:rPr>
              <w:t>000</w:t>
            </w:r>
            <w:r>
              <w:rPr>
                <w:rFonts w:hint="eastAsia" w:ascii="仿宋" w:hAnsi="仿宋" w:eastAsia="仿宋"/>
                <w:bCs/>
              </w:rPr>
              <w:t>套视频和图文宣教内容；</w:t>
            </w:r>
          </w:p>
          <w:p w14:paraId="12324121">
            <w:pPr>
              <w:spacing w:line="396" w:lineRule="auto"/>
              <w:rPr>
                <w:rFonts w:ascii="仿宋" w:hAnsi="仿宋" w:eastAsia="仿宋"/>
                <w:bCs/>
              </w:rPr>
            </w:pPr>
            <w:r>
              <w:rPr>
                <w:rFonts w:hint="eastAsia" w:ascii="仿宋" w:hAnsi="仿宋" w:eastAsia="仿宋"/>
                <w:bCs/>
              </w:rPr>
              <w:t>提供专业的图文编辑器，且提供专业的文章模版（包括正文、分割符、关注、图文、二微码、交互）模版。</w:t>
            </w:r>
          </w:p>
        </w:tc>
      </w:tr>
      <w:tr w14:paraId="30E6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0" w:hRule="atLeast"/>
        </w:trPr>
        <w:tc>
          <w:tcPr>
            <w:tcW w:w="709" w:type="dxa"/>
            <w:vMerge w:val="continue"/>
            <w:vAlign w:val="center"/>
          </w:tcPr>
          <w:p w14:paraId="72830BE0">
            <w:pPr>
              <w:spacing w:line="396" w:lineRule="auto"/>
              <w:rPr>
                <w:rFonts w:ascii="仿宋" w:hAnsi="仿宋" w:eastAsia="仿宋"/>
                <w:bCs/>
              </w:rPr>
            </w:pPr>
          </w:p>
        </w:tc>
        <w:tc>
          <w:tcPr>
            <w:tcW w:w="587" w:type="dxa"/>
            <w:vMerge w:val="restart"/>
            <w:shd w:val="clear" w:color="auto" w:fill="auto"/>
            <w:vAlign w:val="center"/>
          </w:tcPr>
          <w:p w14:paraId="286B8770">
            <w:pPr>
              <w:spacing w:line="396" w:lineRule="auto"/>
              <w:rPr>
                <w:rFonts w:ascii="仿宋" w:hAnsi="仿宋" w:eastAsia="仿宋"/>
                <w:bCs/>
              </w:rPr>
            </w:pPr>
            <w:r>
              <w:rPr>
                <w:rFonts w:hint="eastAsia" w:ascii="仿宋" w:hAnsi="仿宋" w:eastAsia="仿宋"/>
                <w:bCs/>
              </w:rPr>
              <w:t>问卷调 查</w:t>
            </w:r>
          </w:p>
        </w:tc>
        <w:tc>
          <w:tcPr>
            <w:tcW w:w="7067" w:type="dxa"/>
            <w:shd w:val="clear" w:color="auto" w:fill="auto"/>
            <w:vAlign w:val="center"/>
          </w:tcPr>
          <w:p w14:paraId="1F7A5B3C">
            <w:pPr>
              <w:spacing w:line="396" w:lineRule="auto"/>
              <w:rPr>
                <w:rFonts w:ascii="仿宋" w:hAnsi="仿宋" w:eastAsia="仿宋"/>
                <w:bCs/>
              </w:rPr>
            </w:pPr>
            <w:r>
              <w:rPr>
                <w:rFonts w:hint="eastAsia" w:ascii="仿宋" w:hAnsi="仿宋" w:eastAsia="仿宋"/>
                <w:bCs/>
              </w:rPr>
              <w:t>管理人员可创建任意格式的调查问卷；</w:t>
            </w:r>
          </w:p>
          <w:p w14:paraId="40379F4A">
            <w:pPr>
              <w:spacing w:line="396" w:lineRule="auto"/>
              <w:rPr>
                <w:rFonts w:ascii="仿宋" w:hAnsi="仿宋" w:eastAsia="仿宋"/>
                <w:bCs/>
              </w:rPr>
            </w:pPr>
            <w:r>
              <w:rPr>
                <w:rFonts w:hint="eastAsia" w:ascii="仿宋" w:hAnsi="仿宋" w:eastAsia="仿宋"/>
                <w:bCs/>
              </w:rPr>
              <w:t>指定时间自动回收问卷；支持院内人员及院外人员调查控制；</w:t>
            </w:r>
          </w:p>
        </w:tc>
      </w:tr>
      <w:tr w14:paraId="3133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 w:hRule="atLeast"/>
        </w:trPr>
        <w:tc>
          <w:tcPr>
            <w:tcW w:w="709" w:type="dxa"/>
            <w:vMerge w:val="continue"/>
            <w:vAlign w:val="center"/>
          </w:tcPr>
          <w:p w14:paraId="1F1EDFA5">
            <w:pPr>
              <w:spacing w:line="396" w:lineRule="auto"/>
              <w:rPr>
                <w:rFonts w:ascii="仿宋" w:hAnsi="仿宋" w:eastAsia="仿宋"/>
                <w:bCs/>
              </w:rPr>
            </w:pPr>
          </w:p>
        </w:tc>
        <w:tc>
          <w:tcPr>
            <w:tcW w:w="587" w:type="dxa"/>
            <w:vMerge w:val="continue"/>
            <w:shd w:val="clear" w:color="auto" w:fill="auto"/>
            <w:vAlign w:val="center"/>
          </w:tcPr>
          <w:p w14:paraId="7E7690B5">
            <w:pPr>
              <w:spacing w:line="396" w:lineRule="auto"/>
              <w:rPr>
                <w:rFonts w:ascii="仿宋" w:hAnsi="仿宋" w:eastAsia="仿宋"/>
                <w:bCs/>
              </w:rPr>
            </w:pPr>
          </w:p>
        </w:tc>
        <w:tc>
          <w:tcPr>
            <w:tcW w:w="7067" w:type="dxa"/>
            <w:shd w:val="clear" w:color="auto" w:fill="auto"/>
            <w:vAlign w:val="center"/>
          </w:tcPr>
          <w:p w14:paraId="259A72CE">
            <w:pPr>
              <w:spacing w:line="396" w:lineRule="auto"/>
              <w:rPr>
                <w:rFonts w:ascii="仿宋" w:hAnsi="仿宋" w:eastAsia="仿宋"/>
                <w:bCs/>
              </w:rPr>
            </w:pPr>
            <w:r>
              <w:rPr>
                <w:rFonts w:hint="eastAsia" w:ascii="仿宋" w:hAnsi="仿宋" w:eastAsia="仿宋"/>
                <w:bCs/>
              </w:rPr>
              <w:t>支持二维码多渠道分发问卷；完美支持移动端问卷填报；</w:t>
            </w:r>
          </w:p>
        </w:tc>
      </w:tr>
      <w:tr w14:paraId="2AE2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9" w:hRule="atLeast"/>
        </w:trPr>
        <w:tc>
          <w:tcPr>
            <w:tcW w:w="709" w:type="dxa"/>
            <w:vMerge w:val="continue"/>
            <w:vAlign w:val="center"/>
          </w:tcPr>
          <w:p w14:paraId="0FFFECF5">
            <w:pPr>
              <w:spacing w:line="396" w:lineRule="auto"/>
              <w:rPr>
                <w:rFonts w:ascii="仿宋" w:hAnsi="仿宋" w:eastAsia="仿宋"/>
                <w:bCs/>
              </w:rPr>
            </w:pPr>
          </w:p>
        </w:tc>
        <w:tc>
          <w:tcPr>
            <w:tcW w:w="587" w:type="dxa"/>
            <w:vMerge w:val="continue"/>
            <w:shd w:val="clear" w:color="auto" w:fill="auto"/>
            <w:vAlign w:val="center"/>
          </w:tcPr>
          <w:p w14:paraId="683224FB">
            <w:pPr>
              <w:spacing w:line="396" w:lineRule="auto"/>
              <w:rPr>
                <w:rFonts w:ascii="仿宋" w:hAnsi="仿宋" w:eastAsia="仿宋"/>
                <w:bCs/>
              </w:rPr>
            </w:pPr>
          </w:p>
        </w:tc>
        <w:tc>
          <w:tcPr>
            <w:tcW w:w="7067" w:type="dxa"/>
            <w:shd w:val="clear" w:color="auto" w:fill="auto"/>
            <w:vAlign w:val="center"/>
          </w:tcPr>
          <w:p w14:paraId="66C190F1">
            <w:pPr>
              <w:spacing w:line="396" w:lineRule="auto"/>
              <w:rPr>
                <w:rFonts w:ascii="仿宋" w:hAnsi="仿宋" w:eastAsia="仿宋"/>
                <w:bCs/>
              </w:rPr>
            </w:pPr>
            <w:r>
              <w:rPr>
                <w:rFonts w:hint="eastAsia" w:ascii="仿宋" w:hAnsi="仿宋" w:eastAsia="仿宋"/>
                <w:bCs/>
              </w:rPr>
              <w:t>实时分析及掌握问卷填报进度；支持填报内容完整导出到</w:t>
            </w:r>
            <w:r>
              <w:rPr>
                <w:rFonts w:ascii="仿宋" w:hAnsi="仿宋" w:eastAsia="仿宋"/>
                <w:bCs/>
              </w:rPr>
              <w:t>Excel;</w:t>
            </w:r>
            <w:r>
              <w:rPr>
                <w:rFonts w:hint="eastAsia" w:ascii="仿宋" w:hAnsi="仿宋" w:eastAsia="仿宋"/>
                <w:bCs/>
              </w:rPr>
              <w:t>支持问卷细化分析及统计。</w:t>
            </w:r>
          </w:p>
        </w:tc>
      </w:tr>
      <w:tr w14:paraId="3DFE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8" w:hRule="atLeast"/>
        </w:trPr>
        <w:tc>
          <w:tcPr>
            <w:tcW w:w="709" w:type="dxa"/>
            <w:vMerge w:val="continue"/>
            <w:vAlign w:val="center"/>
          </w:tcPr>
          <w:p w14:paraId="5F2A961B">
            <w:pPr>
              <w:spacing w:line="396" w:lineRule="auto"/>
              <w:rPr>
                <w:rFonts w:ascii="仿宋" w:hAnsi="仿宋" w:eastAsia="仿宋"/>
                <w:bCs/>
              </w:rPr>
            </w:pPr>
          </w:p>
        </w:tc>
        <w:tc>
          <w:tcPr>
            <w:tcW w:w="587" w:type="dxa"/>
            <w:vMerge w:val="restart"/>
            <w:shd w:val="clear" w:color="auto" w:fill="auto"/>
            <w:vAlign w:val="center"/>
          </w:tcPr>
          <w:p w14:paraId="7FCD6A50">
            <w:pPr>
              <w:spacing w:line="396" w:lineRule="auto"/>
              <w:rPr>
                <w:rFonts w:ascii="仿宋" w:hAnsi="仿宋" w:eastAsia="仿宋"/>
                <w:bCs/>
              </w:rPr>
            </w:pPr>
            <w:r>
              <w:rPr>
                <w:rFonts w:hint="eastAsia" w:ascii="仿宋" w:hAnsi="仿宋" w:eastAsia="仿宋"/>
                <w:bCs/>
              </w:rPr>
              <w:t>线下考 核</w:t>
            </w:r>
          </w:p>
        </w:tc>
        <w:tc>
          <w:tcPr>
            <w:tcW w:w="7067" w:type="dxa"/>
            <w:shd w:val="clear" w:color="auto" w:fill="auto"/>
            <w:vAlign w:val="center"/>
          </w:tcPr>
          <w:p w14:paraId="06747D78">
            <w:pPr>
              <w:spacing w:line="396" w:lineRule="auto"/>
              <w:rPr>
                <w:rFonts w:ascii="仿宋" w:hAnsi="仿宋" w:eastAsia="仿宋"/>
                <w:bCs/>
              </w:rPr>
            </w:pPr>
            <w:r>
              <w:rPr>
                <w:rFonts w:hint="eastAsia" w:ascii="仿宋" w:hAnsi="仿宋" w:eastAsia="仿宋"/>
                <w:bCs/>
              </w:rPr>
              <w:t>系统支持线下考核及实践技能考核功能，支持直接在系统中发布三级、二级、一级考核任务，可灵活指定需考核学员以及监考员设定，指定时间地点，关联需考核任务表格，直接发布考核任务到监考人员手机端，由监考人员通过微信公众号和A</w:t>
            </w:r>
            <w:r>
              <w:rPr>
                <w:rFonts w:ascii="仿宋" w:hAnsi="仿宋" w:eastAsia="仿宋"/>
                <w:bCs/>
              </w:rPr>
              <w:t>PP</w:t>
            </w:r>
            <w:r>
              <w:rPr>
                <w:rFonts w:hint="eastAsia" w:ascii="仿宋" w:hAnsi="仿宋" w:eastAsia="仿宋"/>
                <w:bCs/>
              </w:rPr>
              <w:t>端均可进行考核，每个分项的得分与扣分需支持单独设定，且支持直接在手机端注明被扣分原因。支持后端直接发布补考任务，并支持一键开启或关闭考核功能。</w:t>
            </w:r>
          </w:p>
        </w:tc>
      </w:tr>
      <w:tr w14:paraId="65EE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0" w:hRule="atLeast"/>
        </w:trPr>
        <w:tc>
          <w:tcPr>
            <w:tcW w:w="709" w:type="dxa"/>
            <w:vMerge w:val="continue"/>
            <w:vAlign w:val="center"/>
          </w:tcPr>
          <w:p w14:paraId="5A669FC2">
            <w:pPr>
              <w:spacing w:line="396" w:lineRule="auto"/>
              <w:rPr>
                <w:rFonts w:ascii="仿宋" w:hAnsi="仿宋" w:eastAsia="仿宋"/>
                <w:bCs/>
              </w:rPr>
            </w:pPr>
          </w:p>
        </w:tc>
        <w:tc>
          <w:tcPr>
            <w:tcW w:w="587" w:type="dxa"/>
            <w:vMerge w:val="continue"/>
            <w:shd w:val="clear" w:color="auto" w:fill="auto"/>
            <w:vAlign w:val="center"/>
          </w:tcPr>
          <w:p w14:paraId="2E0BBCF4">
            <w:pPr>
              <w:spacing w:line="396" w:lineRule="auto"/>
              <w:rPr>
                <w:rFonts w:ascii="仿宋" w:hAnsi="仿宋" w:eastAsia="仿宋"/>
                <w:bCs/>
              </w:rPr>
            </w:pPr>
          </w:p>
        </w:tc>
        <w:tc>
          <w:tcPr>
            <w:tcW w:w="7067" w:type="dxa"/>
            <w:shd w:val="clear" w:color="auto" w:fill="auto"/>
            <w:vAlign w:val="center"/>
          </w:tcPr>
          <w:p w14:paraId="135CB090">
            <w:pPr>
              <w:spacing w:line="396" w:lineRule="auto"/>
              <w:rPr>
                <w:rFonts w:ascii="仿宋" w:hAnsi="仿宋" w:eastAsia="仿宋"/>
                <w:bCs/>
              </w:rPr>
            </w:pPr>
            <w:r>
              <w:rPr>
                <w:rFonts w:hint="eastAsia" w:ascii="仿宋" w:hAnsi="仿宋" w:eastAsia="仿宋"/>
                <w:bCs/>
              </w:rPr>
              <w:t>后端支持对学员的考分进行发布，导出成绩报告，查看成绩统计报表，也可以批量导出已发布学员的考核成绩表等相关功能。</w:t>
            </w:r>
          </w:p>
        </w:tc>
      </w:tr>
      <w:tr w14:paraId="3B9A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trPr>
        <w:tc>
          <w:tcPr>
            <w:tcW w:w="709" w:type="dxa"/>
            <w:vMerge w:val="continue"/>
            <w:vAlign w:val="center"/>
          </w:tcPr>
          <w:p w14:paraId="0162F517">
            <w:pPr>
              <w:spacing w:line="396" w:lineRule="auto"/>
              <w:rPr>
                <w:rFonts w:ascii="仿宋" w:hAnsi="仿宋" w:eastAsia="仿宋"/>
                <w:bCs/>
              </w:rPr>
            </w:pPr>
          </w:p>
        </w:tc>
        <w:tc>
          <w:tcPr>
            <w:tcW w:w="587" w:type="dxa"/>
            <w:vMerge w:val="continue"/>
            <w:shd w:val="clear" w:color="auto" w:fill="auto"/>
            <w:vAlign w:val="center"/>
          </w:tcPr>
          <w:p w14:paraId="4C6123FC">
            <w:pPr>
              <w:spacing w:line="396" w:lineRule="auto"/>
              <w:rPr>
                <w:rFonts w:ascii="仿宋" w:hAnsi="仿宋" w:eastAsia="仿宋"/>
                <w:bCs/>
              </w:rPr>
            </w:pPr>
          </w:p>
        </w:tc>
        <w:tc>
          <w:tcPr>
            <w:tcW w:w="7067" w:type="dxa"/>
            <w:shd w:val="clear" w:color="auto" w:fill="auto"/>
            <w:vAlign w:val="center"/>
          </w:tcPr>
          <w:p w14:paraId="45AE4FF7">
            <w:pPr>
              <w:spacing w:line="396" w:lineRule="auto"/>
              <w:rPr>
                <w:rFonts w:ascii="仿宋" w:hAnsi="仿宋" w:eastAsia="仿宋"/>
                <w:bCs/>
              </w:rPr>
            </w:pPr>
            <w:r>
              <w:rPr>
                <w:rFonts w:hint="eastAsia" w:ascii="仿宋" w:hAnsi="仿宋" w:eastAsia="仿宋"/>
                <w:bCs/>
              </w:rPr>
              <w:t>支持直接导入E</w:t>
            </w:r>
            <w:r>
              <w:rPr>
                <w:rFonts w:ascii="仿宋" w:hAnsi="仿宋" w:eastAsia="仿宋"/>
                <w:bCs/>
              </w:rPr>
              <w:t>xcel</w:t>
            </w:r>
            <w:r>
              <w:rPr>
                <w:rFonts w:hint="eastAsia" w:ascii="仿宋" w:hAnsi="仿宋" w:eastAsia="仿宋"/>
                <w:bCs/>
              </w:rPr>
              <w:t>三级评分表创建考核表，支持直接在后端创建考核表；支持考核表的编辑、必需支持项目上下移动。</w:t>
            </w:r>
          </w:p>
          <w:p w14:paraId="4B3E9EBB">
            <w:pPr>
              <w:spacing w:line="396" w:lineRule="auto"/>
              <w:rPr>
                <w:rFonts w:ascii="仿宋" w:hAnsi="仿宋" w:eastAsia="仿宋"/>
                <w:bCs/>
              </w:rPr>
            </w:pPr>
            <w:r>
              <w:rPr>
                <w:rFonts w:hint="eastAsia" w:ascii="仿宋" w:hAnsi="仿宋" w:eastAsia="仿宋"/>
                <w:bCs/>
              </w:rPr>
              <w:t>且必需支持最小项单项评分或填写扣分原因；</w:t>
            </w:r>
          </w:p>
          <w:p w14:paraId="3C5C4A45">
            <w:pPr>
              <w:spacing w:line="396" w:lineRule="auto"/>
              <w:rPr>
                <w:rFonts w:ascii="仿宋" w:hAnsi="仿宋" w:eastAsia="仿宋"/>
                <w:bCs/>
              </w:rPr>
            </w:pPr>
            <w:r>
              <w:rPr>
                <w:rFonts w:hint="eastAsia" w:ascii="仿宋" w:hAnsi="仿宋" w:eastAsia="仿宋"/>
                <w:bCs/>
              </w:rPr>
              <w:t>支持考核报表的删除、复制、改名等操作。</w:t>
            </w:r>
          </w:p>
        </w:tc>
      </w:tr>
      <w:tr w14:paraId="2C91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8" w:hRule="atLeast"/>
        </w:trPr>
        <w:tc>
          <w:tcPr>
            <w:tcW w:w="709" w:type="dxa"/>
            <w:vMerge w:val="continue"/>
            <w:vAlign w:val="center"/>
          </w:tcPr>
          <w:p w14:paraId="1F0554C7">
            <w:pPr>
              <w:spacing w:line="396" w:lineRule="auto"/>
              <w:rPr>
                <w:rFonts w:ascii="仿宋" w:hAnsi="仿宋" w:eastAsia="仿宋"/>
                <w:bCs/>
              </w:rPr>
            </w:pPr>
          </w:p>
        </w:tc>
        <w:tc>
          <w:tcPr>
            <w:tcW w:w="587" w:type="dxa"/>
            <w:vMerge w:val="restart"/>
            <w:shd w:val="clear" w:color="auto" w:fill="auto"/>
            <w:vAlign w:val="center"/>
          </w:tcPr>
          <w:p w14:paraId="2A9214A3">
            <w:pPr>
              <w:spacing w:line="396" w:lineRule="auto"/>
              <w:rPr>
                <w:rFonts w:ascii="仿宋" w:hAnsi="仿宋" w:eastAsia="仿宋"/>
                <w:bCs/>
              </w:rPr>
            </w:pPr>
            <w:r>
              <w:rPr>
                <w:rFonts w:hint="eastAsia" w:ascii="仿宋" w:hAnsi="仿宋" w:eastAsia="仿宋"/>
                <w:bCs/>
              </w:rPr>
              <w:t>不良事件</w:t>
            </w:r>
          </w:p>
        </w:tc>
        <w:tc>
          <w:tcPr>
            <w:tcW w:w="7067" w:type="dxa"/>
            <w:shd w:val="clear" w:color="auto" w:fill="auto"/>
            <w:vAlign w:val="center"/>
          </w:tcPr>
          <w:p w14:paraId="412E697C">
            <w:pPr>
              <w:spacing w:line="396" w:lineRule="auto"/>
              <w:rPr>
                <w:rFonts w:ascii="仿宋" w:hAnsi="仿宋" w:eastAsia="仿宋"/>
                <w:bCs/>
              </w:rPr>
            </w:pPr>
            <w:r>
              <w:rPr>
                <w:rFonts w:hint="eastAsia" w:ascii="仿宋" w:hAnsi="仿宋" w:eastAsia="仿宋"/>
                <w:bCs/>
                <w:lang w:eastAsia="zh-CN"/>
              </w:rPr>
              <w:t>具备</w:t>
            </w:r>
            <w:r>
              <w:rPr>
                <w:rFonts w:ascii="仿宋" w:hAnsi="仿宋" w:eastAsia="仿宋"/>
                <w:bCs/>
              </w:rPr>
              <w:t>医疗安全(不良)事件管理</w:t>
            </w:r>
            <w:r>
              <w:rPr>
                <w:rFonts w:hint="eastAsia" w:ascii="仿宋" w:hAnsi="仿宋" w:eastAsia="仿宋"/>
                <w:bCs/>
                <w:lang w:eastAsia="zh-CN"/>
              </w:rPr>
              <w:t>功能</w:t>
            </w:r>
            <w:r>
              <w:rPr>
                <w:rFonts w:ascii="仿宋" w:hAnsi="仿宋" w:eastAsia="仿宋"/>
                <w:bCs/>
              </w:rPr>
              <w:t>;使管理者系统地收集资料，并通过深入分析与学习,寻找管理中的薄弱环节,完善系统结构和运作。</w:t>
            </w:r>
          </w:p>
        </w:tc>
      </w:tr>
      <w:tr w14:paraId="421F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2" w:hRule="atLeast"/>
        </w:trPr>
        <w:tc>
          <w:tcPr>
            <w:tcW w:w="709" w:type="dxa"/>
            <w:vMerge w:val="continue"/>
            <w:vAlign w:val="center"/>
          </w:tcPr>
          <w:p w14:paraId="6A41C1D9">
            <w:pPr>
              <w:spacing w:line="396" w:lineRule="auto"/>
              <w:rPr>
                <w:rFonts w:ascii="仿宋" w:hAnsi="仿宋" w:eastAsia="仿宋"/>
                <w:bCs/>
              </w:rPr>
            </w:pPr>
          </w:p>
        </w:tc>
        <w:tc>
          <w:tcPr>
            <w:tcW w:w="587" w:type="dxa"/>
            <w:vMerge w:val="continue"/>
            <w:shd w:val="clear" w:color="auto" w:fill="auto"/>
            <w:vAlign w:val="center"/>
          </w:tcPr>
          <w:p w14:paraId="77B68808">
            <w:pPr>
              <w:spacing w:line="396" w:lineRule="auto"/>
              <w:rPr>
                <w:rFonts w:ascii="仿宋" w:hAnsi="仿宋" w:eastAsia="仿宋"/>
                <w:bCs/>
              </w:rPr>
            </w:pPr>
          </w:p>
        </w:tc>
        <w:tc>
          <w:tcPr>
            <w:tcW w:w="7067" w:type="dxa"/>
            <w:shd w:val="clear" w:color="auto" w:fill="auto"/>
            <w:vAlign w:val="center"/>
          </w:tcPr>
          <w:p w14:paraId="308D91D2">
            <w:pPr>
              <w:spacing w:line="396" w:lineRule="auto"/>
              <w:rPr>
                <w:rFonts w:ascii="仿宋" w:hAnsi="仿宋" w:eastAsia="仿宋"/>
                <w:bCs/>
              </w:rPr>
            </w:pPr>
            <w:r>
              <w:rPr>
                <w:rFonts w:hint="eastAsia" w:ascii="仿宋" w:hAnsi="仿宋" w:eastAsia="仿宋"/>
                <w:bCs/>
              </w:rPr>
              <w:t>不良事件全覆盖，多种事件实现手机或</w:t>
            </w:r>
            <w:r>
              <w:rPr>
                <w:rFonts w:ascii="仿宋" w:hAnsi="仿宋" w:eastAsia="仿宋"/>
                <w:bCs/>
              </w:rPr>
              <w:t>iPad</w:t>
            </w:r>
            <w:r>
              <w:rPr>
                <w:rFonts w:hint="eastAsia" w:ascii="仿宋" w:hAnsi="仿宋" w:eastAsia="仿宋"/>
                <w:bCs/>
              </w:rPr>
              <w:t>随时随地智能上报</w:t>
            </w:r>
            <w:r>
              <w:rPr>
                <w:rFonts w:ascii="仿宋" w:hAnsi="仿宋" w:eastAsia="仿宋"/>
                <w:bCs/>
              </w:rPr>
              <w:t>,</w:t>
            </w:r>
            <w:r>
              <w:rPr>
                <w:rFonts w:hint="eastAsia" w:ascii="仿宋" w:hAnsi="仿宋" w:eastAsia="仿宋"/>
                <w:bCs/>
              </w:rPr>
              <w:t>一键上传不良事件现场图片或视频信息</w:t>
            </w:r>
            <w:r>
              <w:rPr>
                <w:rFonts w:ascii="仿宋" w:hAnsi="仿宋" w:eastAsia="仿宋"/>
                <w:bCs/>
              </w:rPr>
              <w:t>,</w:t>
            </w:r>
            <w:r>
              <w:rPr>
                <w:rFonts w:hint="eastAsia" w:ascii="仿宋" w:hAnsi="仿宋" w:eastAsia="仿宋"/>
                <w:bCs/>
              </w:rPr>
              <w:t>智能区分各种事件信息，满足相关指标要求，全方位多维度不良事件统计分析。</w:t>
            </w:r>
          </w:p>
        </w:tc>
      </w:tr>
      <w:tr w14:paraId="4C7D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8" w:hRule="atLeast"/>
        </w:trPr>
        <w:tc>
          <w:tcPr>
            <w:tcW w:w="709" w:type="dxa"/>
            <w:vMerge w:val="continue"/>
            <w:vAlign w:val="center"/>
          </w:tcPr>
          <w:p w14:paraId="5C529749">
            <w:pPr>
              <w:spacing w:line="396" w:lineRule="auto"/>
              <w:rPr>
                <w:rFonts w:ascii="仿宋" w:hAnsi="仿宋" w:eastAsia="仿宋"/>
                <w:bCs/>
              </w:rPr>
            </w:pPr>
          </w:p>
        </w:tc>
        <w:tc>
          <w:tcPr>
            <w:tcW w:w="587" w:type="dxa"/>
            <w:shd w:val="clear" w:color="auto" w:fill="auto"/>
            <w:vAlign w:val="center"/>
          </w:tcPr>
          <w:p w14:paraId="6782B3E4">
            <w:pPr>
              <w:spacing w:line="396" w:lineRule="auto"/>
              <w:rPr>
                <w:rFonts w:ascii="仿宋" w:hAnsi="仿宋" w:eastAsia="仿宋"/>
                <w:bCs/>
              </w:rPr>
            </w:pPr>
            <w:r>
              <w:rPr>
                <w:rFonts w:hint="eastAsia" w:ascii="仿宋" w:hAnsi="仿宋" w:eastAsia="仿宋"/>
                <w:bCs/>
              </w:rPr>
              <w:t>系统管 理</w:t>
            </w:r>
          </w:p>
        </w:tc>
        <w:tc>
          <w:tcPr>
            <w:tcW w:w="7067" w:type="dxa"/>
            <w:shd w:val="clear" w:color="auto" w:fill="auto"/>
            <w:vAlign w:val="center"/>
          </w:tcPr>
          <w:p w14:paraId="1C3C3302">
            <w:pPr>
              <w:spacing w:line="396" w:lineRule="auto"/>
              <w:rPr>
                <w:rFonts w:ascii="仿宋" w:hAnsi="仿宋" w:eastAsia="仿宋"/>
                <w:bCs/>
              </w:rPr>
            </w:pPr>
            <w:r>
              <w:rPr>
                <w:rFonts w:hint="eastAsia" w:ascii="仿宋" w:hAnsi="仿宋" w:eastAsia="仿宋"/>
                <w:bCs/>
              </w:rPr>
              <w:t>管理人员可实时在后台对全院所有医护人员进行添加、删除、锁定、批量导入导出等操作，并可查看所有人员P</w:t>
            </w:r>
            <w:r>
              <w:rPr>
                <w:rFonts w:ascii="仿宋" w:hAnsi="仿宋" w:eastAsia="仿宋"/>
                <w:bCs/>
              </w:rPr>
              <w:t>C</w:t>
            </w:r>
            <w:r>
              <w:rPr>
                <w:rFonts w:hint="eastAsia" w:ascii="仿宋" w:hAnsi="仿宋" w:eastAsia="仿宋"/>
                <w:bCs/>
              </w:rPr>
              <w:t>或手机端登录记录；可划分不同的角色授权分组，对全院任意医护人员进行详细的角色权限划分；可对系统科室、职称等相关字典资料进行配置。</w:t>
            </w:r>
          </w:p>
        </w:tc>
      </w:tr>
    </w:tbl>
    <w:p w14:paraId="5A41317C">
      <w:pPr>
        <w:ind w:left="105" w:leftChars="5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2、技术要求</w:t>
      </w:r>
    </w:p>
    <w:p w14:paraId="4E6805F6">
      <w:pPr>
        <w:ind w:left="105" w:leftChars="5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（1）应用系统应实现7×24小时的连续运行，系统应达到有效工作时间要求≥99.5%；</w:t>
      </w:r>
    </w:p>
    <w:p w14:paraId="46651A0E">
      <w:pPr>
        <w:ind w:left="105" w:leftChars="5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（2）具有较强的系统安全性和灾难恢复能力；</w:t>
      </w:r>
    </w:p>
    <w:p w14:paraId="344A2C42">
      <w:pPr>
        <w:ind w:left="105" w:leftChars="5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3、服务标准：</w:t>
      </w:r>
    </w:p>
    <w:p w14:paraId="093BC296">
      <w:pPr>
        <w:ind w:left="105" w:leftChars="5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（1）系统需要安全，不得携带病毒或危害性程序；简捷易用，让使用方能够快速 组织全院人员的考核、学习等工作任务；系统运行稳定，反应迅速，年故障率低于24小时，常规性操作反应速度应小于5秒。</w:t>
      </w:r>
    </w:p>
    <w:p w14:paraId="5B17C17B">
      <w:pPr>
        <w:ind w:left="105" w:leftChars="5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（2）应保障能够正常使用此系统完成医院日常的考试、学习、宣教、问卷调查等工作，需提供7×24小时在线和电话服务。</w:t>
      </w:r>
    </w:p>
    <w:p w14:paraId="11BB075E">
      <w:pPr>
        <w:ind w:left="105" w:leftChars="5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4、人员要求：项目服务人员需有项目实施、培训的能力，并定期对系统进行线上巡检。</w:t>
      </w:r>
      <w:bookmarkStart w:id="0" w:name="_GoBack"/>
      <w:bookmarkEnd w:id="0"/>
    </w:p>
    <w:p w14:paraId="368E9AB8">
      <w:pPr>
        <w:ind w:left="105" w:leftChars="5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5、培训要求：</w:t>
      </w:r>
    </w:p>
    <w:p w14:paraId="208851A5">
      <w:pPr>
        <w:ind w:left="105" w:leftChars="5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（1）培训方案中需提供对系统使用人员、系统运行维护管理人员等不同对象的培训计划；</w:t>
      </w:r>
    </w:p>
    <w:p w14:paraId="69A7B86F">
      <w:pPr>
        <w:ind w:left="105" w:leftChars="5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（2）提供系统操作培训，主要是面向医院相关部门等系统操作人员，提供操作培训；</w:t>
      </w:r>
    </w:p>
    <w:p w14:paraId="3B5DA057">
      <w:pPr>
        <w:ind w:left="105" w:leftChars="5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（3）提供系统日常维护系统培训，主要是面向技术人员，通过培训使其具备独立进行系统日常维护、故障的诊断与处理等方面的能力。</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48529">
    <w:pPr>
      <w:spacing w:line="229" w:lineRule="auto"/>
      <w:ind w:left="5883"/>
      <w:rPr>
        <w:rFonts w:ascii="宋体" w:hAnsi="宋体" w:eastAsia="宋体" w:cs="宋体"/>
        <w:sz w:val="18"/>
        <w:szCs w:val="18"/>
      </w:rPr>
    </w:pPr>
    <w:r>
      <w:rPr>
        <w:rFonts w:ascii="宋体" w:hAnsi="宋体" w:eastAsia="宋体" w:cs="宋体"/>
        <w:spacing w:val="-6"/>
        <w:sz w:val="18"/>
        <w:szCs w:val="18"/>
      </w:rPr>
      <w:t>17</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2E"/>
    <w:rsid w:val="001512B9"/>
    <w:rsid w:val="001C4C9C"/>
    <w:rsid w:val="0027532E"/>
    <w:rsid w:val="00317387"/>
    <w:rsid w:val="003219C6"/>
    <w:rsid w:val="003F3494"/>
    <w:rsid w:val="004514B8"/>
    <w:rsid w:val="004E3106"/>
    <w:rsid w:val="00897190"/>
    <w:rsid w:val="008B376B"/>
    <w:rsid w:val="009D6BF8"/>
    <w:rsid w:val="0C1260C9"/>
    <w:rsid w:val="11557AE1"/>
    <w:rsid w:val="17D631C0"/>
    <w:rsid w:val="1B140288"/>
    <w:rsid w:val="25AE3087"/>
    <w:rsid w:val="2F436F36"/>
    <w:rsid w:val="37384EA6"/>
    <w:rsid w:val="374C2700"/>
    <w:rsid w:val="3B163750"/>
    <w:rsid w:val="3C990195"/>
    <w:rsid w:val="40C02079"/>
    <w:rsid w:val="465D66D7"/>
    <w:rsid w:val="4ACC5BD9"/>
    <w:rsid w:val="541A79B6"/>
    <w:rsid w:val="58296419"/>
    <w:rsid w:val="5AB76A38"/>
    <w:rsid w:val="5D656145"/>
    <w:rsid w:val="5FCB6008"/>
    <w:rsid w:val="6122434D"/>
    <w:rsid w:val="64ED420F"/>
    <w:rsid w:val="6530528B"/>
    <w:rsid w:val="68A5389A"/>
    <w:rsid w:val="69A77BDE"/>
    <w:rsid w:val="75736ACE"/>
    <w:rsid w:val="7BD16399"/>
    <w:rsid w:val="7CB26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link w:val="1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link w:val="25"/>
    <w:qFormat/>
    <w:uiPriority w:val="11"/>
    <w:pPr>
      <w:numPr>
        <w:ilvl w:val="1"/>
        <w:numId w:val="0"/>
      </w:num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szCs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color w:val="104862"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3306</Words>
  <Characters>3383</Characters>
  <Lines>25</Lines>
  <Paragraphs>7</Paragraphs>
  <TotalTime>10</TotalTime>
  <ScaleCrop>false</ScaleCrop>
  <LinksUpToDate>false</LinksUpToDate>
  <CharactersWithSpaces>3395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2025-04-21T12:43:00Z</dcterms:created>
  <dc:creator>8618681803266</dc:creator>
  <cp:lastModifiedBy>TX1showmAn</cp:lastModifiedBy>
  <dcterms:modified xsi:type="dcterms:W3CDTF">2025-10-09T02:10:40Z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eyJoZGlkIjoiYzUxZGExNmM2YzUyNDJhZjFlODVhMGM1M2FhN2VmMjUiLCJ1c2VySWQiOiIyNzI1NDQ2NDgifQ==</vt:lpwstr>
  </property>
  <property fmtid="{D5CDD505-2E9C-101B-9397-08002B2CF9AE}" pid="3" name="KSOProductBuildVer">
    <vt:lpwstr>2052-12.1.0.23125</vt:lpwstr>
  </property>
  <property fmtid="{D5CDD505-2E9C-101B-9397-08002B2CF9AE}" pid="4" name="ICV">
    <vt:lpwstr>732EB30960BE4EF3B90994578F32E087_12</vt:lpwstr>
  </property>
</Properties>
</file>